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3D" w:rsidRDefault="004F133D" w:rsidP="00C44735">
      <w:pPr>
        <w:jc w:val="center"/>
        <w:rPr>
          <w:rFonts w:ascii="Comic Sans MS" w:hAnsi="Comic Sans MS"/>
          <w:b/>
          <w:sz w:val="36"/>
          <w:szCs w:val="36"/>
        </w:rPr>
      </w:pPr>
      <w:r>
        <w:rPr>
          <w:rFonts w:ascii="Comic Sans MS" w:hAnsi="Comic Sans MS"/>
          <w:b/>
          <w:noProof/>
          <w:sz w:val="36"/>
          <w:szCs w:val="36"/>
          <w:lang w:eastAsia="en-GB"/>
        </w:rPr>
        <mc:AlternateContent>
          <mc:Choice Requires="wps">
            <w:drawing>
              <wp:anchor distT="0" distB="0" distL="114300" distR="114300" simplePos="0" relativeHeight="251658240" behindDoc="1" locked="0" layoutInCell="1" allowOverlap="1" wp14:anchorId="7148C1BB">
                <wp:simplePos x="0" y="0"/>
                <wp:positionH relativeFrom="margin">
                  <wp:align>center</wp:align>
                </wp:positionH>
                <wp:positionV relativeFrom="paragraph">
                  <wp:posOffset>-133350</wp:posOffset>
                </wp:positionV>
                <wp:extent cx="6172200" cy="80010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0"/>
                        </a:xfrm>
                        <a:prstGeom prst="rect">
                          <a:avLst/>
                        </a:prstGeom>
                        <a:solidFill>
                          <a:srgbClr val="FFFFFF"/>
                        </a:solidFill>
                        <a:ln w="31750">
                          <a:solidFill>
                            <a:srgbClr val="FF9900"/>
                          </a:solidFill>
                          <a:miter lim="800000"/>
                          <a:headEnd/>
                          <a:tailEnd/>
                        </a:ln>
                      </wps:spPr>
                      <wps:txbx>
                        <w:txbxContent>
                          <w:p w:rsidR="00BC4E45" w:rsidRDefault="00BC4E45" w:rsidP="00BC4E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0.5pt;width:486pt;height:6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" strokecolor="#f90" strokeweight="2.5pt">
                <v:textbox>
                  <w:txbxContent>
                    <w:p w:rsidR="00BC4E45" w:rsidRDefault="00BC4E45" w:rsidP="00BC4E45">
                      <w:pPr>
                        <w:jc w:val="center"/>
                      </w:pPr>
                    </w:p>
                  </w:txbxContent>
                </v:textbox>
                <w10:wrap anchorx="margin"/>
              </v:rect>
            </w:pict>
          </mc:Fallback>
        </mc:AlternateContent>
      </w:r>
    </w:p>
    <w:p w:rsidR="004F133D" w:rsidRDefault="004F133D" w:rsidP="00F104BC">
      <w:pPr>
        <w:spacing w:after="160" w:line="259" w:lineRule="auto"/>
        <w:rPr>
          <w:rFonts w:ascii="Comic Sans MS" w:hAnsi="Comic Sans MS"/>
          <w:b/>
          <w:sz w:val="36"/>
          <w:szCs w:val="36"/>
        </w:rPr>
      </w:pPr>
      <w:bookmarkStart w:id="0" w:name="_GoBack"/>
      <w:bookmarkEnd w:id="0"/>
    </w:p>
    <w:p w:rsidR="004F133D" w:rsidRDefault="004F133D" w:rsidP="004F133D">
      <w:pPr>
        <w:spacing w:after="160" w:line="259" w:lineRule="auto"/>
        <w:jc w:val="center"/>
        <w:rPr>
          <w:rFonts w:ascii="Comic Sans MS" w:hAnsi="Comic Sans MS"/>
          <w:b/>
          <w:sz w:val="36"/>
          <w:szCs w:val="36"/>
        </w:rPr>
      </w:pPr>
    </w:p>
    <w:p w:rsidR="004F133D" w:rsidRDefault="004F133D" w:rsidP="004F133D">
      <w:pPr>
        <w:spacing w:after="160" w:line="259" w:lineRule="auto"/>
        <w:jc w:val="center"/>
        <w:rPr>
          <w:rFonts w:ascii="Comic Sans MS" w:hAnsi="Comic Sans MS"/>
          <w:b/>
          <w:sz w:val="36"/>
          <w:szCs w:val="36"/>
        </w:rPr>
      </w:pPr>
      <w:r>
        <w:rPr>
          <w:rFonts w:ascii="Comic Sans MS" w:hAnsi="Comic Sans MS"/>
          <w:b/>
          <w:noProof/>
          <w:sz w:val="36"/>
          <w:szCs w:val="36"/>
          <w:lang w:eastAsia="en-GB"/>
        </w:rPr>
        <mc:AlternateContent>
          <mc:Choice Requires="wps">
            <w:drawing>
              <wp:inline distT="0" distB="0" distL="0" distR="0" wp14:anchorId="566EB464" wp14:editId="700B4840">
                <wp:extent cx="5600700" cy="18542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1854200"/>
                        </a:xfrm>
                        <a:prstGeom prst="rect">
                          <a:avLst/>
                        </a:prstGeom>
                      </wps:spPr>
                      <wps:txbx>
                        <w:txbxContent>
                          <w:p w:rsidR="004F133D" w:rsidRDefault="004F133D" w:rsidP="004F133D">
                            <w:pPr>
                              <w:pStyle w:val="NormalWeb"/>
                              <w:spacing w:before="0" w:beforeAutospacing="0" w:after="0" w:afterAutospacing="0"/>
                              <w:jc w:val="center"/>
                            </w:pPr>
                            <w:r>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Healthcare Needs</w:t>
                            </w:r>
                          </w:p>
                          <w:p w:rsidR="004F133D" w:rsidRDefault="004F133D" w:rsidP="004F133D">
                            <w:pPr>
                              <w:pStyle w:val="NormalWeb"/>
                              <w:spacing w:before="0" w:beforeAutospacing="0" w:after="0" w:afterAutospacing="0"/>
                              <w:jc w:val="center"/>
                            </w:pPr>
                            <w:r>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Policy</w:t>
                            </w:r>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roofErr w:type="gramStart"/>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Draft</w:t>
                            </w:r>
                            <w:proofErr w:type="gramEnd"/>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wps:txbx>
                      <wps:bodyPr wrap="square" numCol="1" fromWordArt="1">
                        <a:prstTxWarp prst="textPlain">
                          <a:avLst>
                            <a:gd name="adj" fmla="val 50568"/>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41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" filled="f" stroked="f">
                <o:lock v:ext="edit" shapetype="t"/>
                <v:textbox style="mso-fit-shape-to-text:t">
                  <w:txbxContent>
                    <w:p w:rsidR="004F133D" w:rsidRDefault="004F133D" w:rsidP="004F133D">
                      <w:pPr>
                        <w:pStyle w:val="NormalWeb"/>
                        <w:spacing w:before="0" w:beforeAutospacing="0" w:after="0" w:afterAutospacing="0"/>
                        <w:jc w:val="center"/>
                      </w:pPr>
                      <w:r>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Healthcare Needs</w:t>
                      </w:r>
                    </w:p>
                    <w:p w:rsidR="004F133D" w:rsidRDefault="004F133D" w:rsidP="004F133D">
                      <w:pPr>
                        <w:pStyle w:val="NormalWeb"/>
                        <w:spacing w:before="0" w:beforeAutospacing="0" w:after="0" w:afterAutospacing="0"/>
                        <w:jc w:val="center"/>
                      </w:pPr>
                      <w:r>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Policy</w:t>
                      </w:r>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roofErr w:type="gramStart"/>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Draft</w:t>
                      </w:r>
                      <w:proofErr w:type="gramEnd"/>
                      <w:r w:rsidR="00BC4E45">
                        <w:rPr>
                          <w:rFonts w:ascii="Comic Sans MS" w:hAnsi="Comic Sans MS"/>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v:textbox>
                <w10:anchorlock/>
              </v:shape>
            </w:pict>
          </mc:Fallback>
        </mc:AlternateContent>
      </w:r>
    </w:p>
    <w:p w:rsidR="00C44735" w:rsidRPr="00BC4E45" w:rsidRDefault="00BC4E45" w:rsidP="00BC4E45">
      <w:pPr>
        <w:spacing w:after="160" w:line="259" w:lineRule="auto"/>
        <w:rPr>
          <w:rFonts w:ascii="Comic Sans MS" w:hAnsi="Comic Sans MS"/>
          <w:b/>
          <w:sz w:val="36"/>
          <w:szCs w:val="36"/>
        </w:rPr>
      </w:pPr>
      <w:r>
        <w:rPr>
          <w:rFonts w:ascii="Comic Sans MS" w:hAnsi="Comic Sans MS"/>
          <w:b/>
          <w:noProof/>
          <w:sz w:val="36"/>
          <w:szCs w:val="36"/>
          <w:lang w:eastAsia="en-GB"/>
        </w:rPr>
        <w:drawing>
          <wp:anchor distT="0" distB="0" distL="114300" distR="114300" simplePos="0" relativeHeight="251659264" behindDoc="1" locked="0" layoutInCell="1" allowOverlap="1" wp14:anchorId="057BCD3A" wp14:editId="797CD2D4">
            <wp:simplePos x="0" y="0"/>
            <wp:positionH relativeFrom="column">
              <wp:posOffset>1722755</wp:posOffset>
            </wp:positionH>
            <wp:positionV relativeFrom="paragraph">
              <wp:posOffset>530860</wp:posOffset>
            </wp:positionV>
            <wp:extent cx="2286000" cy="1943100"/>
            <wp:effectExtent l="0" t="0" r="0" b="0"/>
            <wp:wrapTight wrapText="bothSides">
              <wp:wrapPolygon edited="0">
                <wp:start x="0" y="0"/>
                <wp:lineTo x="0" y="21388"/>
                <wp:lineTo x="21420" y="21388"/>
                <wp:lineTo x="21420" y="0"/>
                <wp:lineTo x="0" y="0"/>
              </wp:wrapPolygon>
            </wp:wrapTight>
            <wp:docPr id="1" name="Picture 1" descr="http://webmail.rctednet.net/exchange/Eppadmin/Inbox/RE:.EML/School%20Logo.JPG/C58EA28C-18C0-4a97-9AF2-036E93DDAFB3/School%20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rctednet.net/exchange/Eppadmin/Inbox/RE:.EML/School%20Logo.JPG/C58EA28C-18C0-4a97-9AF2-036E93DDAFB3/School%20Logo.JPG?attach=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33D">
        <w:rPr>
          <w:rFonts w:ascii="Comic Sans MS" w:hAnsi="Comic Sans MS"/>
          <w:b/>
          <w:sz w:val="36"/>
          <w:szCs w:val="36"/>
        </w:rPr>
        <w:br w:type="page"/>
      </w:r>
    </w:p>
    <w:p w:rsidR="00C44735" w:rsidRDefault="00C44735" w:rsidP="00C44735"/>
    <w:p w:rsidR="00C44735" w:rsidRDefault="00C44735" w:rsidP="00C44735"/>
    <w:p w:rsidR="00C44735" w:rsidRDefault="00C44735" w:rsidP="00C44735"/>
    <w:p w:rsidR="00C44735" w:rsidRDefault="00AC7B49" w:rsidP="00C44735">
      <w:r>
        <w:t>Initiated by:</w:t>
      </w:r>
      <w:r>
        <w:tab/>
      </w:r>
      <w:r>
        <w:tab/>
      </w:r>
      <w:r>
        <w:tab/>
        <w:t>H</w:t>
      </w:r>
      <w:r w:rsidR="00C44735">
        <w:t>T</w:t>
      </w:r>
    </w:p>
    <w:p w:rsidR="00C44735" w:rsidRDefault="00C44735" w:rsidP="00C44735"/>
    <w:p w:rsidR="00C44735" w:rsidRDefault="00C44735" w:rsidP="00C44735">
      <w:r>
        <w:t>Approved by:</w:t>
      </w:r>
      <w:r>
        <w:tab/>
      </w:r>
      <w:r>
        <w:tab/>
      </w:r>
      <w:r>
        <w:tab/>
        <w:t>Governors/SMT</w:t>
      </w:r>
    </w:p>
    <w:p w:rsidR="00C44735" w:rsidRDefault="00C44735" w:rsidP="00C44735"/>
    <w:p w:rsidR="00C44735" w:rsidRDefault="00C44735" w:rsidP="00C44735">
      <w:r>
        <w:t>Date Approved:</w:t>
      </w:r>
      <w:r>
        <w:tab/>
      </w:r>
      <w:r>
        <w:tab/>
      </w:r>
    </w:p>
    <w:p w:rsidR="00C44735" w:rsidRDefault="00C44735" w:rsidP="00C44735"/>
    <w:p w:rsidR="00C44735" w:rsidRDefault="00C44735" w:rsidP="00C44735">
      <w:r>
        <w:t>Version:</w:t>
      </w:r>
      <w:r>
        <w:tab/>
      </w:r>
      <w:r>
        <w:tab/>
      </w:r>
      <w:r>
        <w:tab/>
      </w:r>
      <w:r w:rsidR="004F133D">
        <w:t>1</w:t>
      </w:r>
    </w:p>
    <w:p w:rsidR="00C44735" w:rsidRDefault="00C44735" w:rsidP="00C44735"/>
    <w:p w:rsidR="00C44735" w:rsidRDefault="00C44735" w:rsidP="00C44735">
      <w:r>
        <w:t>O</w:t>
      </w:r>
      <w:r w:rsidR="001A3337">
        <w:t>perational Date:</w:t>
      </w:r>
      <w:r w:rsidR="001A3337">
        <w:tab/>
      </w:r>
      <w:r w:rsidR="001A3337">
        <w:tab/>
        <w:t>July 2017</w:t>
      </w:r>
    </w:p>
    <w:p w:rsidR="00C44735" w:rsidRDefault="00C44735" w:rsidP="00C44735"/>
    <w:p w:rsidR="00C44735" w:rsidRDefault="001A3337" w:rsidP="00C44735">
      <w:r>
        <w:t>Date of Review:</w:t>
      </w:r>
      <w:r>
        <w:tab/>
      </w:r>
      <w:r>
        <w:tab/>
        <w:t>July 2018</w:t>
      </w:r>
    </w:p>
    <w:p w:rsidR="00C44735" w:rsidRDefault="00C44735" w:rsidP="00C44735"/>
    <w:p w:rsidR="00C44735" w:rsidRDefault="00C44735" w:rsidP="00C44735">
      <w:r>
        <w:t>Distribution:</w:t>
      </w:r>
      <w:r>
        <w:tab/>
      </w:r>
      <w:r>
        <w:tab/>
      </w:r>
      <w:r>
        <w:tab/>
        <w:t>SMT/</w:t>
      </w:r>
      <w:r w:rsidR="00AC7B49">
        <w:t>Governing Body/</w:t>
      </w:r>
      <w:r>
        <w:t>All relevant staff</w:t>
      </w:r>
    </w:p>
    <w:p w:rsidR="00F608F5" w:rsidRDefault="00F608F5" w:rsidP="00C44735"/>
    <w:p w:rsidR="00F608F5" w:rsidRDefault="00F608F5" w:rsidP="00C44735"/>
    <w:p w:rsidR="00F608F5" w:rsidRDefault="00F608F5" w:rsidP="00F608F5">
      <w:r>
        <w:t>Headteacher:</w:t>
      </w:r>
    </w:p>
    <w:p w:rsidR="00C44735" w:rsidRDefault="00F608F5" w:rsidP="00F608F5">
      <w:r>
        <w:t xml:space="preserve">Signed:  </w:t>
      </w:r>
      <w:r w:rsidR="00C44735">
        <w:tab/>
      </w:r>
      <w:r w:rsidR="00BC4E45">
        <w:rPr>
          <w:noProof/>
          <w:lang w:eastAsia="en-GB"/>
        </w:rPr>
        <w:drawing>
          <wp:inline distT="0" distB="0" distL="0" distR="0" wp14:anchorId="468E37BB" wp14:editId="58FCDDFE">
            <wp:extent cx="17716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501" cy="553339"/>
                    </a:xfrm>
                    <a:prstGeom prst="rect">
                      <a:avLst/>
                    </a:prstGeom>
                    <a:noFill/>
                    <a:ln>
                      <a:noFill/>
                    </a:ln>
                  </pic:spPr>
                </pic:pic>
              </a:graphicData>
            </a:graphic>
          </wp:inline>
        </w:drawing>
      </w:r>
    </w:p>
    <w:p w:rsidR="004F133D" w:rsidRDefault="004F133D" w:rsidP="00C44735"/>
    <w:p w:rsidR="00C44735" w:rsidRDefault="00C44735" w:rsidP="00C44735">
      <w:r>
        <w:t>Chair of Governors</w:t>
      </w:r>
    </w:p>
    <w:p w:rsidR="00C44735" w:rsidRDefault="00C44735" w:rsidP="00C44735"/>
    <w:p w:rsidR="00C44735" w:rsidRDefault="00C44735" w:rsidP="00C44735">
      <w:r>
        <w:t>Signed</w:t>
      </w:r>
      <w:proofErr w:type="gramStart"/>
      <w:r>
        <w:t>:_</w:t>
      </w:r>
      <w:proofErr w:type="gramEnd"/>
      <w:r>
        <w:t>_______________________________</w:t>
      </w:r>
    </w:p>
    <w:p w:rsidR="00C23211" w:rsidRDefault="00C23211"/>
    <w:p w:rsidR="001A3337" w:rsidRDefault="001A3337"/>
    <w:p w:rsidR="001A3337" w:rsidRDefault="001A3337"/>
    <w:p w:rsidR="001A3337" w:rsidRDefault="001A3337"/>
    <w:p w:rsidR="001A3337" w:rsidRDefault="001A3337"/>
    <w:p w:rsidR="001A3337" w:rsidRDefault="001A3337"/>
    <w:p w:rsidR="001A3337" w:rsidRDefault="001A3337"/>
    <w:p w:rsidR="001A3337" w:rsidRDefault="001A3337"/>
    <w:p w:rsidR="001A3337" w:rsidRPr="001A3337" w:rsidRDefault="001A3337">
      <w:pPr>
        <w:rPr>
          <w:b/>
        </w:rPr>
      </w:pPr>
      <w:r w:rsidRPr="001A3337">
        <w:rPr>
          <w:b/>
        </w:rPr>
        <w:t xml:space="preserve">Schools full name and postcode: </w:t>
      </w:r>
    </w:p>
    <w:p w:rsidR="001A3337" w:rsidRDefault="001A3337"/>
    <w:p w:rsidR="001A3337" w:rsidRDefault="00BC4E45">
      <w:proofErr w:type="spellStart"/>
      <w:r>
        <w:t>PenPych</w:t>
      </w:r>
      <w:proofErr w:type="spellEnd"/>
      <w:r>
        <w:t xml:space="preserve"> Community Primary School </w:t>
      </w:r>
    </w:p>
    <w:p w:rsidR="00BC4E45" w:rsidRDefault="00BC4E45">
      <w:proofErr w:type="spellStart"/>
      <w:r>
        <w:t>Bleanrhondda</w:t>
      </w:r>
      <w:proofErr w:type="spellEnd"/>
      <w:r>
        <w:t xml:space="preserve"> Rd</w:t>
      </w:r>
    </w:p>
    <w:p w:rsidR="00BC4E45" w:rsidRDefault="00BC4E45">
      <w:proofErr w:type="spellStart"/>
      <w:r>
        <w:t>Tynewydd</w:t>
      </w:r>
      <w:proofErr w:type="spellEnd"/>
    </w:p>
    <w:p w:rsidR="00BC4E45" w:rsidRDefault="00BC4E45">
      <w:proofErr w:type="spellStart"/>
      <w:r>
        <w:t>Treherbert</w:t>
      </w:r>
      <w:proofErr w:type="spellEnd"/>
      <w:r>
        <w:t xml:space="preserve"> </w:t>
      </w:r>
    </w:p>
    <w:p w:rsidR="00BC4E45" w:rsidRDefault="00BC4E45">
      <w:r>
        <w:t>RCT</w:t>
      </w:r>
    </w:p>
    <w:p w:rsidR="00BC4E45" w:rsidRDefault="00BC4E45">
      <w:r>
        <w:t>CF42 5 SD</w:t>
      </w:r>
    </w:p>
    <w:p w:rsidR="001A3337" w:rsidRPr="001A3337" w:rsidRDefault="001A3337">
      <w:pPr>
        <w:rPr>
          <w:b/>
        </w:rPr>
      </w:pPr>
      <w:r w:rsidRPr="001A3337">
        <w:rPr>
          <w:b/>
        </w:rPr>
        <w:t>School’s email address:</w:t>
      </w:r>
    </w:p>
    <w:p w:rsidR="001A3337" w:rsidRDefault="00BC4E45">
      <w:r>
        <w:t>Patricia.c.price@rctcbc.gov.uk</w:t>
      </w:r>
    </w:p>
    <w:p w:rsidR="001A3337" w:rsidRPr="001A3337" w:rsidRDefault="001A3337">
      <w:pPr>
        <w:rPr>
          <w:b/>
        </w:rPr>
      </w:pPr>
      <w:r w:rsidRPr="001A3337">
        <w:rPr>
          <w:b/>
        </w:rPr>
        <w:t>Name of person responsible for maintaining this policy:</w:t>
      </w:r>
    </w:p>
    <w:p w:rsidR="001A3337" w:rsidRDefault="001A3337"/>
    <w:p w:rsidR="001A3337" w:rsidRDefault="00BC4E45">
      <w:r>
        <w:t>Patricia Price -</w:t>
      </w:r>
      <w:r w:rsidR="001A3337">
        <w:t xml:space="preserve"> Headteacher </w:t>
      </w:r>
    </w:p>
    <w:p w:rsidR="001A3337" w:rsidRDefault="001A3337"/>
    <w:p w:rsidR="00BC4E45" w:rsidRDefault="00BC4E45"/>
    <w:p w:rsidR="001A3337" w:rsidRDefault="001A3337"/>
    <w:p w:rsidR="001A3337" w:rsidRPr="001A3337" w:rsidRDefault="001A3337" w:rsidP="001A3337">
      <w:pPr>
        <w:pStyle w:val="ListParagraph"/>
        <w:numPr>
          <w:ilvl w:val="0"/>
          <w:numId w:val="1"/>
        </w:numPr>
        <w:rPr>
          <w:u w:val="single"/>
        </w:rPr>
      </w:pPr>
      <w:r w:rsidRPr="001A3337">
        <w:rPr>
          <w:u w:val="single"/>
        </w:rPr>
        <w:t>Key principles</w:t>
      </w:r>
    </w:p>
    <w:p w:rsidR="001A3337" w:rsidRDefault="001A3337" w:rsidP="001A3337"/>
    <w:p w:rsidR="001A3337" w:rsidRDefault="001A3337" w:rsidP="001A3337">
      <w:pPr>
        <w:rPr>
          <w:color w:val="000000" w:themeColor="text1"/>
        </w:rPr>
      </w:pPr>
      <w:r w:rsidRPr="001C2A5E">
        <w:rPr>
          <w:color w:val="000000" w:themeColor="text1"/>
        </w:rPr>
        <w:t xml:space="preserve">The following points should be considered when developing arrangements and procedures, although this is not an exhaustive list. </w:t>
      </w:r>
    </w:p>
    <w:p w:rsidR="001A3337" w:rsidRPr="001C2A5E" w:rsidRDefault="001A3337" w:rsidP="001A3337"/>
    <w:p w:rsidR="001A3337" w:rsidRPr="00E11B07" w:rsidRDefault="001A3337" w:rsidP="001A3337">
      <w:pPr>
        <w:pStyle w:val="ListParagraph"/>
        <w:numPr>
          <w:ilvl w:val="0"/>
          <w:numId w:val="2"/>
        </w:numPr>
        <w:ind w:left="567" w:hanging="567"/>
        <w:rPr>
          <w:color w:val="000000" w:themeColor="text1"/>
        </w:rPr>
      </w:pPr>
      <w:r>
        <w:rPr>
          <w:color w:val="000000" w:themeColor="text1"/>
        </w:rPr>
        <w:t>Staff should understand and work within the principles of inclusivity.</w:t>
      </w:r>
    </w:p>
    <w:p w:rsidR="001A3337" w:rsidRPr="00E11B07" w:rsidRDefault="001A3337" w:rsidP="001A3337">
      <w:pPr>
        <w:pStyle w:val="ListParagraph"/>
        <w:numPr>
          <w:ilvl w:val="0"/>
          <w:numId w:val="2"/>
        </w:numPr>
        <w:ind w:left="567" w:hanging="567"/>
        <w:rPr>
          <w:color w:val="000000" w:themeColor="text1"/>
        </w:rPr>
      </w:pPr>
      <w:r w:rsidRPr="00E11B07">
        <w:rPr>
          <w:color w:val="000000" w:themeColor="text1"/>
        </w:rPr>
        <w:t xml:space="preserve">Lessons and activities </w:t>
      </w:r>
      <w:r>
        <w:rPr>
          <w:color w:val="000000" w:themeColor="text1"/>
        </w:rPr>
        <w:t>should be</w:t>
      </w:r>
      <w:r w:rsidRPr="00E11B07">
        <w:rPr>
          <w:color w:val="000000" w:themeColor="text1"/>
        </w:rPr>
        <w:t xml:space="preserve"> designed in a way which allows those with healthcare needs to participate</w:t>
      </w:r>
      <w:r w:rsidRPr="00696AEE">
        <w:rPr>
          <w:color w:val="000000" w:themeColor="text1"/>
        </w:rPr>
        <w:t xml:space="preserve"> </w:t>
      </w:r>
      <w:r w:rsidRPr="002B5AFC">
        <w:rPr>
          <w:color w:val="000000" w:themeColor="text1"/>
        </w:rPr>
        <w:t>fully</w:t>
      </w:r>
      <w:r>
        <w:rPr>
          <w:color w:val="000000" w:themeColor="text1"/>
        </w:rPr>
        <w:t xml:space="preserve">. </w:t>
      </w:r>
    </w:p>
    <w:p w:rsidR="001A3337" w:rsidRPr="00E11B07" w:rsidRDefault="001A3337" w:rsidP="001A3337">
      <w:pPr>
        <w:pStyle w:val="ListParagraph"/>
        <w:numPr>
          <w:ilvl w:val="0"/>
          <w:numId w:val="2"/>
        </w:numPr>
        <w:ind w:left="567" w:hanging="567"/>
        <w:rPr>
          <w:color w:val="000000" w:themeColor="text1"/>
        </w:rPr>
      </w:pPr>
      <w:r w:rsidRPr="00E11B07">
        <w:rPr>
          <w:color w:val="000000" w:themeColor="text1"/>
        </w:rPr>
        <w:t xml:space="preserve">Staff </w:t>
      </w:r>
      <w:r>
        <w:rPr>
          <w:color w:val="000000" w:themeColor="text1"/>
        </w:rPr>
        <w:t xml:space="preserve">should </w:t>
      </w:r>
      <w:r w:rsidRPr="00E11B07">
        <w:rPr>
          <w:color w:val="000000" w:themeColor="text1"/>
        </w:rPr>
        <w:t xml:space="preserve">understand their role in supporting learners with healthcare needs and appropriate training </w:t>
      </w:r>
      <w:r>
        <w:rPr>
          <w:color w:val="000000" w:themeColor="text1"/>
        </w:rPr>
        <w:t>should be</w:t>
      </w:r>
      <w:r w:rsidRPr="00E11B07">
        <w:rPr>
          <w:color w:val="000000" w:themeColor="text1"/>
        </w:rPr>
        <w:t xml:space="preserve"> provided</w:t>
      </w:r>
      <w:r>
        <w:rPr>
          <w:color w:val="000000" w:themeColor="text1"/>
        </w:rPr>
        <w:t>.</w:t>
      </w:r>
    </w:p>
    <w:p w:rsidR="001A3337" w:rsidRPr="00E11B07" w:rsidRDefault="001A3337" w:rsidP="001A3337">
      <w:pPr>
        <w:pStyle w:val="ListParagraph"/>
        <w:numPr>
          <w:ilvl w:val="0"/>
          <w:numId w:val="2"/>
        </w:numPr>
        <w:ind w:left="567" w:hanging="567"/>
        <w:rPr>
          <w:color w:val="000000" w:themeColor="text1"/>
        </w:rPr>
      </w:pPr>
      <w:r w:rsidRPr="00E11B07">
        <w:rPr>
          <w:color w:val="000000" w:themeColor="text1"/>
        </w:rPr>
        <w:t xml:space="preserve">Staff </w:t>
      </w:r>
      <w:r>
        <w:rPr>
          <w:color w:val="000000" w:themeColor="text1"/>
        </w:rPr>
        <w:t xml:space="preserve">should </w:t>
      </w:r>
      <w:r w:rsidRPr="00E11B07">
        <w:rPr>
          <w:color w:val="000000" w:themeColor="text1"/>
        </w:rPr>
        <w:t xml:space="preserve">feel confident </w:t>
      </w:r>
      <w:r>
        <w:rPr>
          <w:color w:val="000000" w:themeColor="text1"/>
        </w:rPr>
        <w:t>they</w:t>
      </w:r>
      <w:r w:rsidRPr="00E11B07">
        <w:rPr>
          <w:color w:val="000000" w:themeColor="text1"/>
        </w:rPr>
        <w:t xml:space="preserve"> know what to do in a healthcare emergency</w:t>
      </w:r>
      <w:r>
        <w:rPr>
          <w:color w:val="000000" w:themeColor="text1"/>
        </w:rPr>
        <w:t>.</w:t>
      </w:r>
    </w:p>
    <w:p w:rsidR="001A3337" w:rsidRPr="00E11B07" w:rsidRDefault="001A3337" w:rsidP="001A3337">
      <w:pPr>
        <w:pStyle w:val="ListParagraph"/>
        <w:numPr>
          <w:ilvl w:val="0"/>
          <w:numId w:val="2"/>
        </w:numPr>
        <w:ind w:left="567" w:hanging="567"/>
        <w:rPr>
          <w:color w:val="000000" w:themeColor="text1"/>
        </w:rPr>
      </w:pPr>
      <w:r w:rsidRPr="00E11B07">
        <w:rPr>
          <w:color w:val="000000" w:themeColor="text1"/>
        </w:rPr>
        <w:t xml:space="preserve">Staff </w:t>
      </w:r>
      <w:r>
        <w:rPr>
          <w:color w:val="000000" w:themeColor="text1"/>
        </w:rPr>
        <w:t xml:space="preserve">should be </w:t>
      </w:r>
      <w:r w:rsidRPr="00E11B07">
        <w:rPr>
          <w:color w:val="000000" w:themeColor="text1"/>
        </w:rPr>
        <w:t>aware of the needs of their learners through the appropriate and lawful sharing of the individual learner’s healthcare needs</w:t>
      </w:r>
      <w:r>
        <w:rPr>
          <w:color w:val="000000" w:themeColor="text1"/>
        </w:rPr>
        <w:t>.</w:t>
      </w:r>
    </w:p>
    <w:p w:rsidR="001A3337" w:rsidRDefault="001A3337" w:rsidP="001A3337">
      <w:pPr>
        <w:pStyle w:val="ListParagraph"/>
        <w:numPr>
          <w:ilvl w:val="0"/>
          <w:numId w:val="2"/>
        </w:numPr>
        <w:ind w:left="567" w:hanging="567"/>
        <w:rPr>
          <w:color w:val="000000" w:themeColor="text1"/>
        </w:rPr>
      </w:pPr>
      <w:r w:rsidRPr="00E11B07">
        <w:rPr>
          <w:color w:val="000000" w:themeColor="text1"/>
        </w:rPr>
        <w:t xml:space="preserve">Whenever appropriate, learners </w:t>
      </w:r>
      <w:r>
        <w:rPr>
          <w:color w:val="000000" w:themeColor="text1"/>
        </w:rPr>
        <w:t>should be</w:t>
      </w:r>
      <w:r w:rsidRPr="00E11B07">
        <w:rPr>
          <w:color w:val="000000" w:themeColor="text1"/>
        </w:rPr>
        <w:t xml:space="preserve"> encouraged and supported to take responsibility for the management of their own healthcare needs</w:t>
      </w:r>
      <w:r>
        <w:rPr>
          <w:color w:val="000000" w:themeColor="text1"/>
        </w:rPr>
        <w:t>.</w:t>
      </w:r>
    </w:p>
    <w:p w:rsidR="001A3337" w:rsidRPr="001A3337" w:rsidRDefault="001A3337" w:rsidP="001A3337">
      <w:pPr>
        <w:rPr>
          <w:u w:val="single"/>
        </w:rPr>
      </w:pPr>
    </w:p>
    <w:p w:rsidR="001A3337" w:rsidRPr="001A3337" w:rsidRDefault="001A3337" w:rsidP="001A3337">
      <w:pPr>
        <w:pStyle w:val="ListParagraph"/>
        <w:numPr>
          <w:ilvl w:val="0"/>
          <w:numId w:val="1"/>
        </w:numPr>
        <w:rPr>
          <w:u w:val="single"/>
        </w:rPr>
      </w:pPr>
      <w:r w:rsidRPr="001A3337">
        <w:rPr>
          <w:u w:val="single"/>
        </w:rPr>
        <w:t>School’s legal requirements</w:t>
      </w:r>
    </w:p>
    <w:p w:rsidR="001A3337" w:rsidRDefault="001A3337" w:rsidP="001A3337"/>
    <w:p w:rsidR="001A3337" w:rsidRPr="001A3337" w:rsidRDefault="001A3337" w:rsidP="001A3337">
      <w:pPr>
        <w:rPr>
          <w:color w:val="000000" w:themeColor="text1"/>
          <w:u w:val="single"/>
        </w:rPr>
      </w:pPr>
      <w:proofErr w:type="gramStart"/>
      <w:r w:rsidRPr="001A3337">
        <w:rPr>
          <w:color w:val="000000" w:themeColor="text1"/>
          <w:u w:val="single"/>
        </w:rPr>
        <w:t>Legal Framework.</w:t>
      </w:r>
      <w:proofErr w:type="gramEnd"/>
      <w:r w:rsidRPr="001A3337">
        <w:rPr>
          <w:color w:val="000000" w:themeColor="text1"/>
          <w:u w:val="single"/>
        </w:rPr>
        <w:t xml:space="preserve"> </w:t>
      </w:r>
    </w:p>
    <w:p w:rsidR="001A3337" w:rsidRDefault="001A3337" w:rsidP="001A3337">
      <w:pPr>
        <w:rPr>
          <w:color w:val="000000" w:themeColor="text1"/>
        </w:rPr>
      </w:pPr>
    </w:p>
    <w:p w:rsidR="001A3337" w:rsidRPr="0074692B" w:rsidRDefault="001A3337" w:rsidP="001A3337">
      <w:pPr>
        <w:rPr>
          <w:color w:val="000000" w:themeColor="text1"/>
        </w:rPr>
      </w:pPr>
      <w:r w:rsidRPr="0074692B">
        <w:rPr>
          <w:color w:val="000000" w:themeColor="text1"/>
        </w:rPr>
        <w:t xml:space="preserve">Within the educational context, various duties are placed on both schools and local authorities </w:t>
      </w:r>
      <w:r>
        <w:rPr>
          <w:color w:val="000000" w:themeColor="text1"/>
        </w:rPr>
        <w:t>that</w:t>
      </w:r>
      <w:r w:rsidRPr="0074692B">
        <w:rPr>
          <w:color w:val="000000" w:themeColor="text1"/>
        </w:rPr>
        <w:t xml:space="preserve"> are relevant to the safeguarding and welfare of learners. The main provisions are outlined in the sections below. This outline is </w:t>
      </w:r>
      <w:r>
        <w:rPr>
          <w:color w:val="000000" w:themeColor="text1"/>
        </w:rPr>
        <w:t>not</w:t>
      </w:r>
      <w:r w:rsidRPr="0074692B">
        <w:rPr>
          <w:color w:val="000000" w:themeColor="text1"/>
        </w:rPr>
        <w:t xml:space="preserve"> an exhaustive list of the relevant legislation, </w:t>
      </w:r>
      <w:r>
        <w:rPr>
          <w:color w:val="000000" w:themeColor="text1"/>
        </w:rPr>
        <w:t xml:space="preserve">and </w:t>
      </w:r>
      <w:r w:rsidRPr="0074692B">
        <w:rPr>
          <w:color w:val="000000" w:themeColor="text1"/>
        </w:rPr>
        <w:t xml:space="preserve">nor is each section an authoritative statement or description of the laws themselves. </w:t>
      </w:r>
    </w:p>
    <w:p w:rsidR="001A3337" w:rsidRDefault="001A3337" w:rsidP="001A3337">
      <w:pPr>
        <w:rPr>
          <w:b/>
          <w:color w:val="000000" w:themeColor="text1"/>
        </w:rPr>
      </w:pPr>
    </w:p>
    <w:p w:rsidR="001A3337" w:rsidRPr="002517B9" w:rsidRDefault="001A3337" w:rsidP="001A3337">
      <w:pPr>
        <w:rPr>
          <w:color w:val="000000" w:themeColor="text1"/>
          <w:sz w:val="28"/>
          <w:szCs w:val="28"/>
        </w:rPr>
      </w:pPr>
      <w:r w:rsidRPr="002517B9">
        <w:rPr>
          <w:b/>
          <w:color w:val="000000" w:themeColor="text1"/>
          <w:sz w:val="28"/>
          <w:szCs w:val="28"/>
        </w:rPr>
        <w:t>Statutory duties on governing bodies of maintained schools</w:t>
      </w:r>
      <w:r w:rsidRPr="002517B9">
        <w:rPr>
          <w:b/>
          <w:color w:val="000000" w:themeColor="text1"/>
          <w:sz w:val="28"/>
          <w:szCs w:val="28"/>
        </w:rPr>
        <w:br/>
      </w:r>
    </w:p>
    <w:p w:rsidR="001A3337" w:rsidRPr="0074692B" w:rsidRDefault="001A3337" w:rsidP="001A3337">
      <w:pPr>
        <w:pStyle w:val="ListParagraph"/>
        <w:numPr>
          <w:ilvl w:val="0"/>
          <w:numId w:val="5"/>
        </w:numPr>
        <w:ind w:left="567" w:hanging="567"/>
        <w:contextualSpacing w:val="0"/>
        <w:rPr>
          <w:color w:val="000000" w:themeColor="text1"/>
        </w:rPr>
      </w:pPr>
      <w:r w:rsidRPr="0074692B">
        <w:rPr>
          <w:color w:val="000000" w:themeColor="text1"/>
        </w:rPr>
        <w:t>In discharging their functions relating to the conduct of the school, governing bodies of maintained schools (including maintained nursery schools) must promote the well</w:t>
      </w:r>
      <w:r>
        <w:rPr>
          <w:color w:val="000000" w:themeColor="text1"/>
        </w:rPr>
        <w:noBreakHyphen/>
      </w:r>
      <w:r w:rsidRPr="0074692B">
        <w:rPr>
          <w:color w:val="000000" w:themeColor="text1"/>
        </w:rPr>
        <w:t xml:space="preserve">being of learners at the school. </w:t>
      </w:r>
      <w:r w:rsidRPr="001C2A5E">
        <w:rPr>
          <w:color w:val="000000" w:themeColor="text1"/>
        </w:rPr>
        <w:t xml:space="preserve">(Section 21(5) of the Education Act 2002). </w:t>
      </w:r>
      <w:r w:rsidRPr="0074692B">
        <w:rPr>
          <w:color w:val="000000" w:themeColor="text1"/>
        </w:rPr>
        <w:t>This duty relates to all learners, including those with healthcare needs.</w:t>
      </w:r>
    </w:p>
    <w:p w:rsidR="001A3337" w:rsidRPr="0074692B" w:rsidRDefault="00CE669D" w:rsidP="001A3337">
      <w:pPr>
        <w:pStyle w:val="ListParagraph"/>
        <w:numPr>
          <w:ilvl w:val="0"/>
          <w:numId w:val="5"/>
        </w:numPr>
        <w:ind w:left="567" w:hanging="567"/>
        <w:contextualSpacing w:val="0"/>
        <w:rPr>
          <w:i/>
          <w:color w:val="000000" w:themeColor="text1"/>
        </w:rPr>
      </w:pPr>
      <w:r>
        <w:rPr>
          <w:color w:val="000000" w:themeColor="text1"/>
        </w:rPr>
        <w:t xml:space="preserve">The Governing Body at </w:t>
      </w:r>
      <w:r w:rsidR="00BC4E45">
        <w:rPr>
          <w:color w:val="000000" w:themeColor="text1"/>
        </w:rPr>
        <w:t>Penpych Community</w:t>
      </w:r>
      <w:r w:rsidR="00E832CD">
        <w:rPr>
          <w:color w:val="000000" w:themeColor="text1"/>
        </w:rPr>
        <w:t xml:space="preserve"> Primary School</w:t>
      </w:r>
      <w:r>
        <w:rPr>
          <w:color w:val="000000" w:themeColor="text1"/>
        </w:rPr>
        <w:t xml:space="preserve"> </w:t>
      </w:r>
      <w:r w:rsidR="001A3337" w:rsidRPr="0074692B">
        <w:rPr>
          <w:color w:val="000000" w:themeColor="text1"/>
        </w:rPr>
        <w:t>must make arrangements for ensuring that their functions relating to the conduct of the school are exercised with a view to safeguarding and promoting the welfare of children (i.e. those under 18) who are learners at the school</w:t>
      </w:r>
      <w:r w:rsidR="001A3337">
        <w:rPr>
          <w:color w:val="000000" w:themeColor="text1"/>
        </w:rPr>
        <w:t xml:space="preserve"> (see s</w:t>
      </w:r>
      <w:r w:rsidR="001A3337" w:rsidRPr="001C2A5E">
        <w:rPr>
          <w:color w:val="000000" w:themeColor="text1"/>
        </w:rPr>
        <w:t>ection 175(2) of the Education Act 2002)</w:t>
      </w:r>
      <w:r w:rsidR="001A3337">
        <w:rPr>
          <w:color w:val="000000" w:themeColor="text1"/>
        </w:rPr>
        <w:t>.</w:t>
      </w:r>
      <w:r w:rsidR="001A3337" w:rsidRPr="0074692B">
        <w:rPr>
          <w:color w:val="000000" w:themeColor="text1"/>
        </w:rPr>
        <w:t xml:space="preserve"> </w:t>
      </w:r>
    </w:p>
    <w:p w:rsidR="001A3337" w:rsidRDefault="001A3337" w:rsidP="001A3337">
      <w:pPr>
        <w:pStyle w:val="ListParagraph"/>
        <w:numPr>
          <w:ilvl w:val="0"/>
          <w:numId w:val="5"/>
        </w:numPr>
        <w:ind w:left="567" w:hanging="567"/>
        <w:contextualSpacing w:val="0"/>
        <w:rPr>
          <w:color w:val="000000" w:themeColor="text1"/>
        </w:rPr>
      </w:pPr>
      <w:r w:rsidRPr="0074692B">
        <w:rPr>
          <w:color w:val="000000" w:themeColor="text1"/>
        </w:rPr>
        <w:t xml:space="preserve">Governing bodies are also subject to duties under the </w:t>
      </w:r>
      <w:r w:rsidRPr="002517B9">
        <w:rPr>
          <w:color w:val="000000" w:themeColor="text1"/>
        </w:rPr>
        <w:t>Equality Act 2010</w:t>
      </w:r>
      <w:r w:rsidRPr="0074692B">
        <w:rPr>
          <w:color w:val="000000" w:themeColor="text1"/>
        </w:rPr>
        <w:t xml:space="preserve"> – see below.</w:t>
      </w:r>
    </w:p>
    <w:p w:rsidR="001A3337" w:rsidRPr="0074692B" w:rsidRDefault="001A3337" w:rsidP="001A3337">
      <w:pPr>
        <w:pStyle w:val="ListParagraph"/>
        <w:ind w:left="567" w:hanging="567"/>
        <w:contextualSpacing w:val="0"/>
        <w:rPr>
          <w:color w:val="000000" w:themeColor="text1"/>
        </w:rPr>
      </w:pPr>
      <w:r w:rsidRPr="0074692B">
        <w:rPr>
          <w:color w:val="000000" w:themeColor="text1"/>
        </w:rPr>
        <w:t xml:space="preserve"> </w:t>
      </w:r>
    </w:p>
    <w:p w:rsidR="001A3337" w:rsidRDefault="001A3337" w:rsidP="001A3337">
      <w:pPr>
        <w:rPr>
          <w:b/>
          <w:color w:val="000000" w:themeColor="text1"/>
          <w:sz w:val="28"/>
          <w:szCs w:val="28"/>
        </w:rPr>
      </w:pPr>
      <w:r w:rsidRPr="002517B9">
        <w:rPr>
          <w:b/>
          <w:color w:val="000000" w:themeColor="text1"/>
          <w:sz w:val="28"/>
          <w:szCs w:val="28"/>
        </w:rPr>
        <w:t>Statutory duties on local authorities</w:t>
      </w:r>
    </w:p>
    <w:p w:rsidR="001A3337" w:rsidRPr="002D177F" w:rsidRDefault="001A3337" w:rsidP="001A3337">
      <w:pPr>
        <w:rPr>
          <w:b/>
          <w:color w:val="000000" w:themeColor="text1"/>
        </w:rPr>
      </w:pPr>
    </w:p>
    <w:p w:rsidR="001A3337" w:rsidRPr="0074692B" w:rsidRDefault="001A3337" w:rsidP="001A3337">
      <w:pPr>
        <w:pStyle w:val="ListParagraph"/>
        <w:numPr>
          <w:ilvl w:val="0"/>
          <w:numId w:val="4"/>
        </w:numPr>
        <w:ind w:left="567" w:hanging="567"/>
        <w:contextualSpacing w:val="0"/>
        <w:rPr>
          <w:i/>
          <w:color w:val="000000" w:themeColor="text1"/>
        </w:rPr>
      </w:pPr>
      <w:r w:rsidRPr="0074692B">
        <w:rPr>
          <w:color w:val="000000" w:themeColor="text1"/>
        </w:rPr>
        <w:t xml:space="preserve">Local authorities have general functions in relation to providing education for their area </w:t>
      </w:r>
      <w:r w:rsidRPr="001C2A5E">
        <w:rPr>
          <w:color w:val="000000" w:themeColor="text1"/>
        </w:rPr>
        <w:t xml:space="preserve">(see in particular sections 13 to 14, 15A, </w:t>
      </w:r>
      <w:proofErr w:type="gramStart"/>
      <w:r w:rsidRPr="001C2A5E">
        <w:rPr>
          <w:color w:val="000000" w:themeColor="text1"/>
        </w:rPr>
        <w:t>15B</w:t>
      </w:r>
      <w:proofErr w:type="gramEnd"/>
      <w:r w:rsidRPr="001C2A5E">
        <w:rPr>
          <w:color w:val="000000" w:themeColor="text1"/>
        </w:rPr>
        <w:t xml:space="preserve"> of the Education Act 1996)</w:t>
      </w:r>
      <w:r w:rsidRPr="009F46F3">
        <w:rPr>
          <w:color w:val="000000" w:themeColor="text1"/>
        </w:rPr>
        <w:t>.</w:t>
      </w:r>
    </w:p>
    <w:p w:rsidR="001A3337" w:rsidRPr="0074692B" w:rsidRDefault="001A3337" w:rsidP="001A3337">
      <w:pPr>
        <w:pStyle w:val="ListParagraph"/>
        <w:numPr>
          <w:ilvl w:val="0"/>
          <w:numId w:val="4"/>
        </w:numPr>
        <w:ind w:left="567" w:hanging="567"/>
        <w:contextualSpacing w:val="0"/>
        <w:rPr>
          <w:color w:val="000000" w:themeColor="text1"/>
        </w:rPr>
      </w:pPr>
      <w:r w:rsidRPr="0074692B">
        <w:rPr>
          <w:color w:val="000000" w:themeColor="text1"/>
        </w:rPr>
        <w:t>A local authority must make arrangements for the provision of suitable education (at school or otherwise) for children of compulsory school age who may not otherwise receive it for any period due to illness, exclusion from school or otherwise</w:t>
      </w:r>
      <w:r>
        <w:rPr>
          <w:color w:val="000000" w:themeColor="text1"/>
        </w:rPr>
        <w:t xml:space="preserve"> </w:t>
      </w:r>
      <w:r w:rsidRPr="0074692B">
        <w:rPr>
          <w:color w:val="000000" w:themeColor="text1"/>
        </w:rPr>
        <w:t>(</w:t>
      </w:r>
      <w:r>
        <w:rPr>
          <w:color w:val="000000" w:themeColor="text1"/>
        </w:rPr>
        <w:t xml:space="preserve">see </w:t>
      </w:r>
      <w:r w:rsidRPr="001C2A5E">
        <w:rPr>
          <w:color w:val="000000" w:themeColor="text1"/>
        </w:rPr>
        <w:t>section 19(1) of the Education Act 1996).</w:t>
      </w:r>
      <w:r w:rsidRPr="0074692B">
        <w:rPr>
          <w:color w:val="000000" w:themeColor="text1"/>
        </w:rPr>
        <w:t xml:space="preserve"> For young persons (i.e. those who are over compulsory school age, but under the age of 18), local authorities have a power (rather than a duty) to make such arrangements in those circumstances</w:t>
      </w:r>
      <w:r>
        <w:rPr>
          <w:color w:val="000000" w:themeColor="text1"/>
        </w:rPr>
        <w:t xml:space="preserve"> </w:t>
      </w:r>
      <w:r w:rsidRPr="009F46F3">
        <w:rPr>
          <w:color w:val="000000" w:themeColor="text1"/>
        </w:rPr>
        <w:t>(</w:t>
      </w:r>
      <w:r>
        <w:rPr>
          <w:color w:val="000000" w:themeColor="text1"/>
        </w:rPr>
        <w:t>see s</w:t>
      </w:r>
      <w:r w:rsidRPr="001C2A5E">
        <w:rPr>
          <w:color w:val="000000" w:themeColor="text1"/>
        </w:rPr>
        <w:t>ection 19(4) of the Education Act 1996</w:t>
      </w:r>
      <w:r w:rsidRPr="009F46F3">
        <w:rPr>
          <w:color w:val="000000" w:themeColor="text1"/>
        </w:rPr>
        <w:t>)</w:t>
      </w:r>
      <w:r>
        <w:rPr>
          <w:color w:val="000000" w:themeColor="text1"/>
        </w:rPr>
        <w:t>.</w:t>
      </w:r>
      <w:r w:rsidRPr="0074692B">
        <w:rPr>
          <w:color w:val="000000" w:themeColor="text1"/>
        </w:rPr>
        <w:t xml:space="preserve"> In determining what arrangements to make under section 19(1) or (4) in the case of any child or young person, the local authority must have regard to any guidance given by the Welsh Ministers.  </w:t>
      </w:r>
    </w:p>
    <w:p w:rsidR="001A3337" w:rsidRDefault="001A3337" w:rsidP="001A3337">
      <w:pPr>
        <w:pStyle w:val="ListParagraph"/>
        <w:numPr>
          <w:ilvl w:val="0"/>
          <w:numId w:val="4"/>
        </w:numPr>
        <w:ind w:left="567" w:hanging="567"/>
        <w:contextualSpacing w:val="0"/>
        <w:rPr>
          <w:color w:val="000000" w:themeColor="text1"/>
        </w:rPr>
      </w:pPr>
      <w:r w:rsidRPr="009F46F3">
        <w:rPr>
          <w:color w:val="000000" w:themeColor="text1"/>
        </w:rPr>
        <w:t xml:space="preserve">A local authority must make arrangements for ensuring that their education functions are exercised with a view to safeguarding and promoting the welfare of children (i.e. </w:t>
      </w:r>
      <w:r w:rsidRPr="0053408C">
        <w:rPr>
          <w:color w:val="000000" w:themeColor="text1"/>
        </w:rPr>
        <w:t xml:space="preserve">those under 18 – see </w:t>
      </w:r>
      <w:r w:rsidRPr="001C2A5E">
        <w:rPr>
          <w:color w:val="000000" w:themeColor="text1"/>
        </w:rPr>
        <w:t>section 175(1) of the Education Act 2002).</w:t>
      </w:r>
    </w:p>
    <w:p w:rsidR="001A3337" w:rsidRPr="0053408C" w:rsidRDefault="001A3337" w:rsidP="001A3337">
      <w:pPr>
        <w:pStyle w:val="ListParagraph"/>
        <w:numPr>
          <w:ilvl w:val="0"/>
          <w:numId w:val="4"/>
        </w:numPr>
        <w:ind w:left="567" w:hanging="567"/>
        <w:contextualSpacing w:val="0"/>
        <w:rPr>
          <w:color w:val="000000" w:themeColor="text1"/>
        </w:rPr>
      </w:pPr>
      <w:r w:rsidRPr="009F46F3">
        <w:rPr>
          <w:color w:val="000000" w:themeColor="text1"/>
        </w:rPr>
        <w:t>Local autho</w:t>
      </w:r>
      <w:r w:rsidRPr="0053408C">
        <w:rPr>
          <w:color w:val="000000" w:themeColor="text1"/>
        </w:rPr>
        <w:t>rities in Wales have a duty under s</w:t>
      </w:r>
      <w:r>
        <w:rPr>
          <w:color w:val="000000" w:themeColor="text1"/>
        </w:rPr>
        <w:t>ection</w:t>
      </w:r>
      <w:r w:rsidRPr="0053408C">
        <w:rPr>
          <w:color w:val="000000" w:themeColor="text1"/>
        </w:rPr>
        <w:t>15 of the Social Services and Well-being (Wales) Act 2014 to provide services in their area with the purpose of preventing or delaying the development of people’s needs for care and support and a range of related purposes.</w:t>
      </w:r>
    </w:p>
    <w:p w:rsidR="001A3337" w:rsidRPr="0074692B" w:rsidRDefault="001A3337" w:rsidP="001A3337">
      <w:pPr>
        <w:pStyle w:val="ListParagraph"/>
        <w:numPr>
          <w:ilvl w:val="0"/>
          <w:numId w:val="4"/>
        </w:numPr>
        <w:ind w:left="567" w:hanging="567"/>
        <w:rPr>
          <w:color w:val="000000" w:themeColor="text1"/>
        </w:rPr>
      </w:pPr>
      <w:r w:rsidRPr="0074692B">
        <w:rPr>
          <w:color w:val="000000" w:themeColor="text1"/>
        </w:rPr>
        <w:t>Local authorities must make arrangements to promote cooperation between various persons and bodies</w:t>
      </w:r>
      <w:r>
        <w:rPr>
          <w:color w:val="000000" w:themeColor="text1"/>
        </w:rPr>
        <w:t>. This includes a</w:t>
      </w:r>
      <w:r w:rsidRPr="0074692B">
        <w:rPr>
          <w:color w:val="000000" w:themeColor="text1"/>
        </w:rPr>
        <w:t xml:space="preserve"> health board </w:t>
      </w:r>
      <w:r>
        <w:rPr>
          <w:color w:val="000000" w:themeColor="text1"/>
        </w:rPr>
        <w:t xml:space="preserve">and NHS trust </w:t>
      </w:r>
      <w:r w:rsidRPr="0074692B">
        <w:rPr>
          <w:color w:val="000000" w:themeColor="text1"/>
        </w:rPr>
        <w:t>within the local authority</w:t>
      </w:r>
      <w:r>
        <w:rPr>
          <w:color w:val="000000" w:themeColor="text1"/>
        </w:rPr>
        <w:t xml:space="preserve"> area.</w:t>
      </w:r>
      <w:r w:rsidRPr="0074692B">
        <w:rPr>
          <w:color w:val="000000" w:themeColor="text1"/>
        </w:rPr>
        <w:t xml:space="preserve"> The arrangements are to be made with a view to:</w:t>
      </w:r>
      <w:r w:rsidRPr="0074692B">
        <w:rPr>
          <w:color w:val="000000" w:themeColor="text1"/>
        </w:rPr>
        <w:br/>
      </w:r>
    </w:p>
    <w:p w:rsidR="001A3337" w:rsidRPr="0074692B" w:rsidRDefault="001A3337" w:rsidP="001A3337">
      <w:pPr>
        <w:pStyle w:val="ListParagraph"/>
        <w:numPr>
          <w:ilvl w:val="0"/>
          <w:numId w:val="3"/>
        </w:numPr>
        <w:ind w:left="1134" w:hanging="567"/>
        <w:rPr>
          <w:color w:val="000000" w:themeColor="text1"/>
          <w:u w:val="single"/>
        </w:rPr>
      </w:pPr>
      <w:r w:rsidRPr="0074692B">
        <w:rPr>
          <w:color w:val="000000" w:themeColor="text1"/>
        </w:rPr>
        <w:t>improving the well-being of children within the area</w:t>
      </w:r>
    </w:p>
    <w:p w:rsidR="001A3337" w:rsidRPr="0074692B" w:rsidRDefault="001A3337" w:rsidP="001A3337">
      <w:pPr>
        <w:pStyle w:val="ListParagraph"/>
        <w:numPr>
          <w:ilvl w:val="0"/>
          <w:numId w:val="3"/>
        </w:numPr>
        <w:ind w:left="1134" w:hanging="567"/>
        <w:rPr>
          <w:color w:val="000000" w:themeColor="text1"/>
          <w:u w:val="single"/>
        </w:rPr>
      </w:pPr>
      <w:r w:rsidRPr="0074692B">
        <w:rPr>
          <w:color w:val="000000" w:themeColor="text1"/>
        </w:rPr>
        <w:t>improving the quality of care and support for children provided in the area</w:t>
      </w:r>
    </w:p>
    <w:p w:rsidR="001A3337" w:rsidRPr="0074692B" w:rsidRDefault="001A3337" w:rsidP="001A3337">
      <w:pPr>
        <w:pStyle w:val="ListParagraph"/>
        <w:numPr>
          <w:ilvl w:val="0"/>
          <w:numId w:val="3"/>
        </w:numPr>
        <w:ind w:left="1134" w:hanging="567"/>
        <w:contextualSpacing w:val="0"/>
        <w:rPr>
          <w:color w:val="000000" w:themeColor="text1"/>
          <w:u w:val="single"/>
        </w:rPr>
      </w:pPr>
      <w:proofErr w:type="gramStart"/>
      <w:r w:rsidRPr="0074692B">
        <w:rPr>
          <w:color w:val="000000" w:themeColor="text1"/>
        </w:rPr>
        <w:t>protecting</w:t>
      </w:r>
      <w:proofErr w:type="gramEnd"/>
      <w:r w:rsidRPr="0074692B">
        <w:rPr>
          <w:color w:val="000000" w:themeColor="text1"/>
        </w:rPr>
        <w:t xml:space="preserve"> children who are experiencing or at risk of abuse, neglect and other harm </w:t>
      </w:r>
      <w:r w:rsidRPr="001C2A5E">
        <w:rPr>
          <w:color w:val="000000" w:themeColor="text1"/>
        </w:rPr>
        <w:t xml:space="preserve">(see </w:t>
      </w:r>
      <w:r>
        <w:rPr>
          <w:color w:val="000000" w:themeColor="text1"/>
        </w:rPr>
        <w:t>s</w:t>
      </w:r>
      <w:r w:rsidRPr="001C2A5E">
        <w:rPr>
          <w:color w:val="000000" w:themeColor="text1"/>
        </w:rPr>
        <w:t>ection 25 of the Children Act 2004)</w:t>
      </w:r>
      <w:r>
        <w:rPr>
          <w:color w:val="000000" w:themeColor="text1"/>
        </w:rPr>
        <w:t>.</w:t>
      </w:r>
      <w:r w:rsidRPr="0074692B">
        <w:rPr>
          <w:color w:val="000000" w:themeColor="text1"/>
        </w:rPr>
        <w:t xml:space="preserve"> </w:t>
      </w:r>
    </w:p>
    <w:p w:rsidR="001A3337" w:rsidRPr="0074692B" w:rsidRDefault="001A3337" w:rsidP="001A3337">
      <w:pPr>
        <w:pStyle w:val="ListParagraph"/>
        <w:numPr>
          <w:ilvl w:val="0"/>
          <w:numId w:val="4"/>
        </w:numPr>
        <w:ind w:left="567" w:hanging="567"/>
        <w:contextualSpacing w:val="0"/>
        <w:rPr>
          <w:color w:val="000000" w:themeColor="text1"/>
        </w:rPr>
      </w:pPr>
      <w:r w:rsidRPr="001C2A5E">
        <w:rPr>
          <w:color w:val="000000" w:themeColor="text1"/>
        </w:rPr>
        <w:t>The Education (School Premises) Regulations 1999 S.I. 1999/2</w:t>
      </w:r>
      <w:r w:rsidRPr="0053408C">
        <w:rPr>
          <w:color w:val="000000" w:themeColor="text1"/>
        </w:rPr>
        <w:t xml:space="preserve"> s</w:t>
      </w:r>
      <w:r w:rsidRPr="0074692B">
        <w:rPr>
          <w:color w:val="000000" w:themeColor="text1"/>
        </w:rPr>
        <w:t>et out requirements (LA responsibility) regarding facilities at maintained schools. These include requirements regarding accommodation for medical examination</w:t>
      </w:r>
      <w:r>
        <w:rPr>
          <w:color w:val="000000" w:themeColor="text1"/>
        </w:rPr>
        <w:t>,</w:t>
      </w:r>
      <w:r w:rsidRPr="0074692B">
        <w:rPr>
          <w:color w:val="000000" w:themeColor="text1"/>
        </w:rPr>
        <w:t xml:space="preserve"> treatment of learners and the care of sick or injured learners (</w:t>
      </w:r>
      <w:r w:rsidRPr="001C2A5E">
        <w:rPr>
          <w:color w:val="000000" w:themeColor="text1"/>
        </w:rPr>
        <w:t>regulation 5</w:t>
      </w:r>
      <w:r w:rsidRPr="0074692B">
        <w:rPr>
          <w:color w:val="000000" w:themeColor="text1"/>
        </w:rPr>
        <w:t>).</w:t>
      </w:r>
    </w:p>
    <w:p w:rsidR="001A3337" w:rsidRPr="0074692B" w:rsidRDefault="001A3337" w:rsidP="001A3337">
      <w:pPr>
        <w:pStyle w:val="ListParagraph"/>
        <w:numPr>
          <w:ilvl w:val="0"/>
          <w:numId w:val="4"/>
        </w:numPr>
        <w:ind w:left="567" w:hanging="567"/>
        <w:rPr>
          <w:color w:val="000000" w:themeColor="text1"/>
        </w:rPr>
      </w:pPr>
      <w:r w:rsidRPr="0074692B">
        <w:rPr>
          <w:color w:val="000000" w:themeColor="text1"/>
        </w:rPr>
        <w:t xml:space="preserve">Local authorities also have duties under the </w:t>
      </w:r>
      <w:r w:rsidRPr="002517B9">
        <w:rPr>
          <w:color w:val="000000" w:themeColor="text1"/>
        </w:rPr>
        <w:t>Equality Act 2010</w:t>
      </w:r>
      <w:r w:rsidRPr="0074692B">
        <w:rPr>
          <w:color w:val="000000" w:themeColor="text1"/>
        </w:rPr>
        <w:t xml:space="preserve"> – see below. </w:t>
      </w:r>
    </w:p>
    <w:p w:rsidR="001A3337" w:rsidRPr="002517B9" w:rsidRDefault="001A3337" w:rsidP="001A3337">
      <w:pPr>
        <w:rPr>
          <w:b/>
          <w:color w:val="000000" w:themeColor="text1"/>
          <w:sz w:val="28"/>
          <w:szCs w:val="28"/>
        </w:rPr>
      </w:pPr>
      <w:r w:rsidRPr="0074692B">
        <w:rPr>
          <w:b/>
          <w:color w:val="000000" w:themeColor="text1"/>
        </w:rPr>
        <w:br/>
      </w:r>
      <w:r w:rsidRPr="002517B9">
        <w:rPr>
          <w:b/>
          <w:color w:val="000000" w:themeColor="text1"/>
          <w:sz w:val="28"/>
          <w:szCs w:val="28"/>
        </w:rPr>
        <w:t>The Equality Act 2010</w:t>
      </w:r>
    </w:p>
    <w:p w:rsidR="001A3337" w:rsidRDefault="001A3337" w:rsidP="001A3337">
      <w:pPr>
        <w:rPr>
          <w:color w:val="000000" w:themeColor="text1"/>
        </w:rPr>
      </w:pPr>
    </w:p>
    <w:p w:rsidR="001A3337" w:rsidRDefault="001A3337" w:rsidP="001A3337">
      <w:pPr>
        <w:rPr>
          <w:color w:val="000000" w:themeColor="text1"/>
        </w:rPr>
      </w:pPr>
      <w:r w:rsidRPr="0074692B">
        <w:rPr>
          <w:color w:val="000000" w:themeColor="text1"/>
        </w:rPr>
        <w:t>Disability is a protected characteristic under the Equality Act 2010. Some learners with healthcare needs may be disabled for the purposes of that Act; others may not be. There are various duties under the Equality Act 2010 which are relevant in the context of learners with healthcare needs who are also disabled.</w:t>
      </w:r>
    </w:p>
    <w:p w:rsidR="001A3337" w:rsidRPr="0074692B" w:rsidRDefault="001A3337" w:rsidP="001A3337">
      <w:pPr>
        <w:rPr>
          <w:color w:val="000000" w:themeColor="text1"/>
        </w:rPr>
      </w:pPr>
    </w:p>
    <w:p w:rsidR="001A3337" w:rsidRDefault="001A3337" w:rsidP="001A3337">
      <w:pPr>
        <w:rPr>
          <w:color w:val="000000" w:themeColor="text1"/>
        </w:rPr>
      </w:pPr>
      <w:r w:rsidRPr="0074692B">
        <w:rPr>
          <w:color w:val="000000" w:themeColor="text1"/>
        </w:rPr>
        <w:t xml:space="preserve">The responsible body of a school must not discriminate, harass or victimise disabled learners and in some cases, other particular persons. The responsible body is also subject to a duty to make reasonable adjustments </w:t>
      </w:r>
      <w:r w:rsidRPr="001C2A5E">
        <w:rPr>
          <w:color w:val="000000" w:themeColor="text1"/>
        </w:rPr>
        <w:t>(</w:t>
      </w:r>
      <w:r>
        <w:rPr>
          <w:color w:val="000000" w:themeColor="text1"/>
        </w:rPr>
        <w:t>s</w:t>
      </w:r>
      <w:r w:rsidRPr="001C2A5E">
        <w:rPr>
          <w:color w:val="000000" w:themeColor="text1"/>
        </w:rPr>
        <w:t>ection 85 of the Equality Act 2010).</w:t>
      </w:r>
      <w:r w:rsidRPr="0074692B">
        <w:rPr>
          <w:i/>
          <w:color w:val="000000" w:themeColor="text1"/>
        </w:rPr>
        <w:t xml:space="preserve"> </w:t>
      </w:r>
      <w:r w:rsidRPr="0074692B">
        <w:rPr>
          <w:color w:val="000000" w:themeColor="text1"/>
        </w:rPr>
        <w:t>Local authorities must prepare and implement an accessibility strategy in relation to schools for which they are the responsible body. This is a strategy for (over a particular period):</w:t>
      </w:r>
    </w:p>
    <w:p w:rsidR="001A3337" w:rsidRPr="0074692B" w:rsidRDefault="001A3337" w:rsidP="001A3337">
      <w:pPr>
        <w:rPr>
          <w:color w:val="000000" w:themeColor="text1"/>
        </w:rPr>
      </w:pPr>
    </w:p>
    <w:p w:rsidR="001A3337" w:rsidRPr="001C2A5E" w:rsidRDefault="001A3337" w:rsidP="001A3337">
      <w:pPr>
        <w:pStyle w:val="ListParagraph"/>
        <w:numPr>
          <w:ilvl w:val="0"/>
          <w:numId w:val="8"/>
        </w:numPr>
        <w:ind w:left="567" w:hanging="567"/>
        <w:rPr>
          <w:color w:val="000000" w:themeColor="text1"/>
        </w:rPr>
      </w:pPr>
      <w:r w:rsidRPr="001C2A5E">
        <w:rPr>
          <w:color w:val="000000" w:themeColor="text1"/>
        </w:rPr>
        <w:t>increasing the extent to which disabled learners can participate in the schools’ curriculums</w:t>
      </w:r>
    </w:p>
    <w:p w:rsidR="001A3337" w:rsidRPr="001C2A5E" w:rsidRDefault="001A3337" w:rsidP="001A3337">
      <w:pPr>
        <w:pStyle w:val="ListParagraph"/>
        <w:numPr>
          <w:ilvl w:val="0"/>
          <w:numId w:val="8"/>
        </w:numPr>
        <w:ind w:left="567" w:hanging="567"/>
        <w:rPr>
          <w:color w:val="000000" w:themeColor="text1"/>
        </w:rPr>
      </w:pPr>
      <w:r w:rsidRPr="001C2A5E">
        <w:rPr>
          <w:color w:val="000000" w:themeColor="text1"/>
        </w:rPr>
        <w:t>improving the physical environment of the schools for the purpose of increasing the extent to which disabled learners are able to take advantage of education and benefits, facilities or services provided or offered by the schools</w:t>
      </w:r>
    </w:p>
    <w:p w:rsidR="001A3337" w:rsidRPr="001C2A5E" w:rsidRDefault="001A3337" w:rsidP="001A3337">
      <w:pPr>
        <w:pStyle w:val="ListParagraph"/>
        <w:numPr>
          <w:ilvl w:val="0"/>
          <w:numId w:val="8"/>
        </w:numPr>
        <w:ind w:left="567" w:hanging="567"/>
        <w:rPr>
          <w:color w:val="000000" w:themeColor="text1"/>
        </w:rPr>
      </w:pPr>
      <w:proofErr w:type="gramStart"/>
      <w:r w:rsidRPr="001C2A5E">
        <w:rPr>
          <w:color w:val="000000" w:themeColor="text1"/>
        </w:rPr>
        <w:t>improving</w:t>
      </w:r>
      <w:proofErr w:type="gramEnd"/>
      <w:r w:rsidRPr="001C2A5E">
        <w:rPr>
          <w:color w:val="000000" w:themeColor="text1"/>
        </w:rPr>
        <w:t xml:space="preserve"> the delivery to disabled learners of information which is readily accessible to learners who are not disabled.  </w:t>
      </w:r>
    </w:p>
    <w:p w:rsidR="001A3337" w:rsidRDefault="001A3337" w:rsidP="001A3337">
      <w:pPr>
        <w:rPr>
          <w:color w:val="000000" w:themeColor="text1"/>
        </w:rPr>
      </w:pPr>
    </w:p>
    <w:p w:rsidR="001A3337" w:rsidRDefault="001A3337" w:rsidP="001A3337">
      <w:pPr>
        <w:rPr>
          <w:color w:val="000000" w:themeColor="text1"/>
        </w:rPr>
      </w:pPr>
      <w:r w:rsidRPr="001C2A5E">
        <w:rPr>
          <w:color w:val="000000" w:themeColor="text1"/>
        </w:rPr>
        <w:t>(See paragraph 1 of Schedule 10 to the Equality Act 2010</w:t>
      </w:r>
      <w:r>
        <w:rPr>
          <w:color w:val="000000" w:themeColor="text1"/>
        </w:rPr>
        <w:t>.</w:t>
      </w:r>
      <w:r w:rsidRPr="001C2A5E">
        <w:rPr>
          <w:color w:val="000000" w:themeColor="text1"/>
        </w:rPr>
        <w:t>)</w:t>
      </w:r>
    </w:p>
    <w:p w:rsidR="001A3337" w:rsidRPr="00AE770E" w:rsidRDefault="001A3337" w:rsidP="001A3337">
      <w:pPr>
        <w:ind w:firstLine="567"/>
        <w:rPr>
          <w:color w:val="000000" w:themeColor="text1"/>
        </w:rPr>
      </w:pPr>
    </w:p>
    <w:p w:rsidR="001A3337" w:rsidRDefault="001A3337" w:rsidP="001A3337">
      <w:pPr>
        <w:rPr>
          <w:color w:val="000000" w:themeColor="text1"/>
        </w:rPr>
      </w:pPr>
      <w:r w:rsidRPr="0074692B">
        <w:rPr>
          <w:color w:val="000000" w:themeColor="text1"/>
        </w:rPr>
        <w:t>The responsible body of a school must prepare and implement an accessibility plan. Such a plan involves the same content as an accessibility strategy</w:t>
      </w:r>
      <w:r>
        <w:rPr>
          <w:color w:val="000000" w:themeColor="text1"/>
        </w:rPr>
        <w:t>,</w:t>
      </w:r>
      <w:r w:rsidRPr="0074692B">
        <w:rPr>
          <w:color w:val="000000" w:themeColor="text1"/>
        </w:rPr>
        <w:t xml:space="preserve"> except that it relates to the particular school </w:t>
      </w:r>
      <w:r w:rsidRPr="001C2A5E">
        <w:rPr>
          <w:color w:val="000000" w:themeColor="text1"/>
        </w:rPr>
        <w:t>(</w:t>
      </w:r>
      <w:r>
        <w:rPr>
          <w:color w:val="000000" w:themeColor="text1"/>
        </w:rPr>
        <w:t>p</w:t>
      </w:r>
      <w:r w:rsidRPr="001C2A5E">
        <w:rPr>
          <w:color w:val="000000" w:themeColor="text1"/>
        </w:rPr>
        <w:t xml:space="preserve">aragraph 3 of </w:t>
      </w:r>
      <w:r>
        <w:rPr>
          <w:color w:val="000000" w:themeColor="text1"/>
        </w:rPr>
        <w:t>s</w:t>
      </w:r>
      <w:r w:rsidRPr="001C2A5E">
        <w:rPr>
          <w:color w:val="000000" w:themeColor="text1"/>
        </w:rPr>
        <w:t>chedule 10 to the Equality Act 2010).</w:t>
      </w:r>
      <w:r w:rsidRPr="0074692B">
        <w:rPr>
          <w:i/>
          <w:color w:val="000000" w:themeColor="text1"/>
        </w:rPr>
        <w:t xml:space="preserve"> </w:t>
      </w:r>
      <w:r w:rsidRPr="0074692B">
        <w:rPr>
          <w:color w:val="000000" w:themeColor="text1"/>
        </w:rPr>
        <w:t xml:space="preserve">In relation to a maintained school and maintained nursery, the responsible body is the local authority or the governing body. In relation to a </w:t>
      </w:r>
      <w:r>
        <w:rPr>
          <w:color w:val="000000" w:themeColor="text1"/>
        </w:rPr>
        <w:t>PRU</w:t>
      </w:r>
      <w:r w:rsidRPr="0074692B">
        <w:rPr>
          <w:color w:val="000000" w:themeColor="text1"/>
        </w:rPr>
        <w:t>, it is the local authority.</w:t>
      </w:r>
    </w:p>
    <w:p w:rsidR="001A3337" w:rsidRPr="0074692B" w:rsidRDefault="001A3337" w:rsidP="001A3337">
      <w:pPr>
        <w:rPr>
          <w:color w:val="000000" w:themeColor="text1"/>
        </w:rPr>
      </w:pPr>
    </w:p>
    <w:p w:rsidR="001A3337" w:rsidRPr="0074692B" w:rsidRDefault="001A3337" w:rsidP="001A3337">
      <w:pPr>
        <w:rPr>
          <w:b/>
          <w:color w:val="000000" w:themeColor="text1"/>
        </w:rPr>
      </w:pPr>
      <w:r w:rsidRPr="0074692B">
        <w:rPr>
          <w:color w:val="000000" w:themeColor="text1"/>
        </w:rPr>
        <w:t>Local authorities and the governing body of local authority</w:t>
      </w:r>
      <w:r>
        <w:rPr>
          <w:color w:val="000000" w:themeColor="text1"/>
        </w:rPr>
        <w:t>-</w:t>
      </w:r>
      <w:r w:rsidRPr="0074692B">
        <w:rPr>
          <w:color w:val="000000" w:themeColor="text1"/>
        </w:rPr>
        <w:t>maintained educational establishments (e.g. maintained schools) are subject to the public sector equality duty.  This requires them, in the exercise of their functions, to have due regard to particular matters related to equality</w:t>
      </w:r>
      <w:r w:rsidRPr="00447FF3">
        <w:rPr>
          <w:color w:val="000000" w:themeColor="text1"/>
        </w:rPr>
        <w:t xml:space="preserve"> </w:t>
      </w:r>
      <w:r w:rsidRPr="001C2A5E">
        <w:rPr>
          <w:color w:val="000000" w:themeColor="text1"/>
        </w:rPr>
        <w:t>(</w:t>
      </w:r>
      <w:r>
        <w:rPr>
          <w:color w:val="000000" w:themeColor="text1"/>
        </w:rPr>
        <w:t>s</w:t>
      </w:r>
      <w:r w:rsidRPr="001C2A5E">
        <w:rPr>
          <w:color w:val="000000" w:themeColor="text1"/>
        </w:rPr>
        <w:t>ection 149).</w:t>
      </w:r>
      <w:r w:rsidRPr="00447FF3">
        <w:rPr>
          <w:color w:val="000000" w:themeColor="text1"/>
        </w:rPr>
        <w:t xml:space="preserve"> They</w:t>
      </w:r>
      <w:r w:rsidRPr="0074692B">
        <w:rPr>
          <w:color w:val="000000" w:themeColor="text1"/>
        </w:rPr>
        <w:t xml:space="preserve"> are also under specific duties for the purpose of enabling better performance of the public sector equality duty </w:t>
      </w:r>
      <w:r w:rsidRPr="00447FF3">
        <w:rPr>
          <w:color w:val="000000" w:themeColor="text1"/>
        </w:rPr>
        <w:t>(</w:t>
      </w:r>
      <w:r>
        <w:rPr>
          <w:color w:val="000000" w:themeColor="text1"/>
        </w:rPr>
        <w:t xml:space="preserve">see the </w:t>
      </w:r>
      <w:r w:rsidRPr="001C2A5E">
        <w:rPr>
          <w:color w:val="000000" w:themeColor="text1"/>
        </w:rPr>
        <w:t>Equality Act 2010 (Statutory Duties) (Wales) Regulations 2011 S.I.2011/1064).</w:t>
      </w:r>
    </w:p>
    <w:p w:rsidR="001A3337" w:rsidRDefault="001A3337" w:rsidP="001A3337">
      <w:pPr>
        <w:rPr>
          <w:b/>
          <w:color w:val="000000" w:themeColor="text1"/>
        </w:rPr>
      </w:pPr>
    </w:p>
    <w:p w:rsidR="001A3337" w:rsidRDefault="001A3337" w:rsidP="001A3337">
      <w:pPr>
        <w:rPr>
          <w:b/>
          <w:color w:val="000000" w:themeColor="text1"/>
          <w:sz w:val="28"/>
          <w:szCs w:val="28"/>
        </w:rPr>
      </w:pPr>
      <w:r w:rsidRPr="002517B9">
        <w:rPr>
          <w:b/>
          <w:color w:val="000000" w:themeColor="text1"/>
          <w:sz w:val="28"/>
          <w:szCs w:val="28"/>
        </w:rPr>
        <w:t>Social Services and Well-being (Wales) Act 2014</w:t>
      </w:r>
    </w:p>
    <w:p w:rsidR="001A3337" w:rsidRPr="002D177F" w:rsidRDefault="001A3337" w:rsidP="001A3337">
      <w:pPr>
        <w:rPr>
          <w:b/>
          <w:color w:val="000000" w:themeColor="text1"/>
        </w:rPr>
      </w:pPr>
    </w:p>
    <w:p w:rsidR="001A3337" w:rsidRPr="0074692B" w:rsidRDefault="001A3337" w:rsidP="001A3337">
      <w:pPr>
        <w:pStyle w:val="ListParagraph"/>
        <w:numPr>
          <w:ilvl w:val="0"/>
          <w:numId w:val="7"/>
        </w:numPr>
        <w:ind w:left="567" w:hanging="567"/>
        <w:contextualSpacing w:val="0"/>
        <w:rPr>
          <w:color w:val="000000" w:themeColor="text1"/>
        </w:rPr>
      </w:pPr>
      <w:r w:rsidRPr="0074692B">
        <w:rPr>
          <w:color w:val="000000" w:themeColor="text1"/>
        </w:rPr>
        <w:t>The Social Services and Well-being (Wales) Act 2014 (</w:t>
      </w:r>
      <w:r>
        <w:rPr>
          <w:color w:val="000000" w:themeColor="text1"/>
        </w:rPr>
        <w:t>‘</w:t>
      </w:r>
      <w:r w:rsidRPr="0074692B">
        <w:rPr>
          <w:color w:val="000000" w:themeColor="text1"/>
        </w:rPr>
        <w:t>the 2014 Act</w:t>
      </w:r>
      <w:r>
        <w:rPr>
          <w:color w:val="000000" w:themeColor="text1"/>
        </w:rPr>
        <w:t>’</w:t>
      </w:r>
      <w:r w:rsidRPr="0074692B">
        <w:rPr>
          <w:color w:val="000000" w:themeColor="text1"/>
        </w:rPr>
        <w:t>) is a single act that brings together local authorities</w:t>
      </w:r>
      <w:r>
        <w:rPr>
          <w:color w:val="000000" w:themeColor="text1"/>
        </w:rPr>
        <w:t>’</w:t>
      </w:r>
      <w:r w:rsidRPr="0074692B">
        <w:rPr>
          <w:color w:val="000000" w:themeColor="text1"/>
        </w:rPr>
        <w:t xml:space="preserve"> duties and functions in relation to improving the well</w:t>
      </w:r>
      <w:r>
        <w:rPr>
          <w:color w:val="000000" w:themeColor="text1"/>
        </w:rPr>
        <w:noBreakHyphen/>
      </w:r>
      <w:r w:rsidRPr="0074692B">
        <w:rPr>
          <w:color w:val="000000" w:themeColor="text1"/>
        </w:rPr>
        <w:t xml:space="preserve">being of people who need care and support, and carers who need support. The Act provides the statutory framework to deliver the Welsh Government’s commitment to integrated social services departments with a strong family orientation. </w:t>
      </w:r>
    </w:p>
    <w:p w:rsidR="001A3337" w:rsidRPr="0074692B" w:rsidRDefault="001A3337" w:rsidP="001A3337">
      <w:pPr>
        <w:pStyle w:val="ListParagraph"/>
        <w:numPr>
          <w:ilvl w:val="0"/>
          <w:numId w:val="7"/>
        </w:numPr>
        <w:ind w:left="567" w:hanging="567"/>
        <w:contextualSpacing w:val="0"/>
        <w:rPr>
          <w:color w:val="000000" w:themeColor="text1"/>
        </w:rPr>
      </w:pPr>
      <w:r w:rsidRPr="0074692B">
        <w:rPr>
          <w:color w:val="000000" w:themeColor="text1"/>
        </w:rPr>
        <w:t xml:space="preserve">From a Welsh policy and delivery perspective, the </w:t>
      </w:r>
      <w:r>
        <w:rPr>
          <w:color w:val="000000" w:themeColor="text1"/>
        </w:rPr>
        <w:t>2014</w:t>
      </w:r>
      <w:r w:rsidRPr="0074692B">
        <w:rPr>
          <w:color w:val="000000" w:themeColor="text1"/>
        </w:rPr>
        <w:t xml:space="preserve"> Act seeks to ensure that care and support provided to young people is delivered in accordance with the principles outlined in the UNCRC.</w:t>
      </w:r>
    </w:p>
    <w:p w:rsidR="001A3337" w:rsidRPr="0074692B" w:rsidRDefault="001A3337" w:rsidP="001A3337">
      <w:pPr>
        <w:pStyle w:val="ListParagraph"/>
        <w:numPr>
          <w:ilvl w:val="0"/>
          <w:numId w:val="7"/>
        </w:numPr>
        <w:ind w:left="567" w:hanging="567"/>
        <w:contextualSpacing w:val="0"/>
        <w:rPr>
          <w:color w:val="000000" w:themeColor="text1"/>
        </w:rPr>
      </w:pPr>
      <w:r w:rsidRPr="0074692B">
        <w:rPr>
          <w:color w:val="000000" w:themeColor="text1"/>
        </w:rPr>
        <w:t>Local authorities in Wales have a duty under s</w:t>
      </w:r>
      <w:r>
        <w:rPr>
          <w:color w:val="000000" w:themeColor="text1"/>
        </w:rPr>
        <w:t xml:space="preserve">ection </w:t>
      </w:r>
      <w:r w:rsidRPr="0074692B">
        <w:rPr>
          <w:color w:val="000000" w:themeColor="text1"/>
        </w:rPr>
        <w:t xml:space="preserve">15 of the 2014 Act to provide </w:t>
      </w:r>
      <w:r>
        <w:rPr>
          <w:color w:val="000000" w:themeColor="text1"/>
        </w:rPr>
        <w:t xml:space="preserve">preventative </w:t>
      </w:r>
      <w:r w:rsidRPr="0074692B">
        <w:rPr>
          <w:color w:val="000000" w:themeColor="text1"/>
        </w:rPr>
        <w:t>services in their area</w:t>
      </w:r>
      <w:r>
        <w:rPr>
          <w:color w:val="000000" w:themeColor="text1"/>
        </w:rPr>
        <w:t>. The</w:t>
      </w:r>
      <w:r w:rsidRPr="0074692B">
        <w:rPr>
          <w:color w:val="000000" w:themeColor="text1"/>
        </w:rPr>
        <w:t xml:space="preserve"> purpose of </w:t>
      </w:r>
      <w:r>
        <w:rPr>
          <w:color w:val="000000" w:themeColor="text1"/>
        </w:rPr>
        <w:t xml:space="preserve">these services would be to </w:t>
      </w:r>
      <w:r w:rsidRPr="0074692B">
        <w:rPr>
          <w:color w:val="000000" w:themeColor="text1"/>
        </w:rPr>
        <w:t>prevent or delay people</w:t>
      </w:r>
      <w:r>
        <w:rPr>
          <w:color w:val="000000" w:themeColor="text1"/>
        </w:rPr>
        <w:t xml:space="preserve"> developing a</w:t>
      </w:r>
      <w:r w:rsidRPr="0074692B">
        <w:rPr>
          <w:color w:val="000000" w:themeColor="text1"/>
        </w:rPr>
        <w:t xml:space="preserve"> need for care and support.</w:t>
      </w:r>
    </w:p>
    <w:p w:rsidR="001A3337" w:rsidRPr="0074692B" w:rsidRDefault="001A3337" w:rsidP="001A3337">
      <w:pPr>
        <w:pStyle w:val="ListParagraph"/>
        <w:numPr>
          <w:ilvl w:val="0"/>
          <w:numId w:val="7"/>
        </w:numPr>
        <w:ind w:left="567" w:hanging="567"/>
        <w:contextualSpacing w:val="0"/>
        <w:rPr>
          <w:color w:val="000000" w:themeColor="text1"/>
        </w:rPr>
      </w:pPr>
      <w:r w:rsidRPr="0074692B">
        <w:rPr>
          <w:color w:val="000000" w:themeColor="text1"/>
        </w:rPr>
        <w:t xml:space="preserve">The </w:t>
      </w:r>
      <w:r>
        <w:rPr>
          <w:color w:val="000000" w:themeColor="text1"/>
        </w:rPr>
        <w:t xml:space="preserve">2014 </w:t>
      </w:r>
      <w:r w:rsidRPr="0074692B">
        <w:rPr>
          <w:color w:val="000000" w:themeColor="text1"/>
        </w:rPr>
        <w:t>Act was developed using the ‘</w:t>
      </w:r>
      <w:r>
        <w:rPr>
          <w:color w:val="000000" w:themeColor="text1"/>
        </w:rPr>
        <w:t>p</w:t>
      </w:r>
      <w:r w:rsidRPr="0074692B">
        <w:rPr>
          <w:color w:val="000000" w:themeColor="text1"/>
        </w:rPr>
        <w:t xml:space="preserve">eople </w:t>
      </w:r>
      <w:r>
        <w:rPr>
          <w:color w:val="000000" w:themeColor="text1"/>
        </w:rPr>
        <w:t>m</w:t>
      </w:r>
      <w:r w:rsidRPr="0074692B">
        <w:rPr>
          <w:color w:val="000000" w:themeColor="text1"/>
        </w:rPr>
        <w:t xml:space="preserve">odel’ which focuses on providing sustainable social services to people (being children, adults and carers) in line with their unique needs. This means that children are not treated in isolation but instead as part of families and communities. This has allowed the </w:t>
      </w:r>
      <w:r>
        <w:rPr>
          <w:color w:val="000000" w:themeColor="text1"/>
        </w:rPr>
        <w:t xml:space="preserve">2014 </w:t>
      </w:r>
      <w:r w:rsidRPr="0074692B">
        <w:rPr>
          <w:color w:val="000000" w:themeColor="text1"/>
        </w:rPr>
        <w:t>Act to provide a cohesive and more integrated care system.</w:t>
      </w:r>
    </w:p>
    <w:p w:rsidR="001A3337" w:rsidRPr="0074692B" w:rsidRDefault="001A3337" w:rsidP="001A3337">
      <w:pPr>
        <w:pStyle w:val="ListParagraph"/>
        <w:numPr>
          <w:ilvl w:val="0"/>
          <w:numId w:val="7"/>
        </w:numPr>
        <w:ind w:left="567" w:hanging="567"/>
        <w:contextualSpacing w:val="0"/>
        <w:rPr>
          <w:color w:val="000000" w:themeColor="text1"/>
        </w:rPr>
      </w:pPr>
      <w:r w:rsidRPr="0074692B">
        <w:rPr>
          <w:color w:val="000000" w:themeColor="text1"/>
        </w:rPr>
        <w:t xml:space="preserve">Well-being and the outcomes people wish to achieve are at the centre of the legislation; the definition of well-being in the Act, and the well-being statement, both recognise that securing rights and entitlements is key to ensuring that children can speak for themselves or have someone who can do it for them so that they are involved in the decisions that affect their life. </w:t>
      </w:r>
    </w:p>
    <w:p w:rsidR="001A3337" w:rsidRDefault="001A3337" w:rsidP="001A3337">
      <w:pPr>
        <w:ind w:left="567" w:hanging="567"/>
        <w:rPr>
          <w:b/>
          <w:color w:val="000000" w:themeColor="text1"/>
        </w:rPr>
      </w:pPr>
    </w:p>
    <w:p w:rsidR="001A3337" w:rsidRDefault="001A3337" w:rsidP="001A3337">
      <w:pPr>
        <w:rPr>
          <w:color w:val="000000" w:themeColor="text1"/>
        </w:rPr>
      </w:pPr>
      <w:r w:rsidRPr="002517B9">
        <w:rPr>
          <w:b/>
          <w:color w:val="000000" w:themeColor="text1"/>
          <w:sz w:val="28"/>
          <w:szCs w:val="28"/>
        </w:rPr>
        <w:t xml:space="preserve">Common law </w:t>
      </w:r>
      <w:r w:rsidRPr="002517B9">
        <w:rPr>
          <w:b/>
          <w:color w:val="000000" w:themeColor="text1"/>
          <w:sz w:val="28"/>
          <w:szCs w:val="28"/>
        </w:rPr>
        <w:br/>
      </w:r>
    </w:p>
    <w:p w:rsidR="001A3337" w:rsidRPr="0074692B" w:rsidRDefault="001A3337" w:rsidP="001A3337">
      <w:pPr>
        <w:rPr>
          <w:b/>
          <w:color w:val="000000" w:themeColor="text1"/>
        </w:rPr>
      </w:pPr>
      <w:r w:rsidRPr="0074692B">
        <w:rPr>
          <w:color w:val="000000" w:themeColor="text1"/>
        </w:rPr>
        <w:t xml:space="preserve">As part of the common law, those responsible for the care and supervision of children, including teachers and other school staff in charge of children, owe a duty of care to act as any reasonably prudent parent would when taking care of their own children. A person who is responsible for the care and supervision of children should do what is reasonable for the purpose of safeguarding or promoting the child’s welfare. However, this is subject, for example, to a court order prohibiting certain steps being taken in relation to that child without the </w:t>
      </w:r>
      <w:r>
        <w:rPr>
          <w:color w:val="000000" w:themeColor="text1"/>
        </w:rPr>
        <w:t>c</w:t>
      </w:r>
      <w:r w:rsidRPr="0074692B">
        <w:rPr>
          <w:color w:val="000000" w:themeColor="text1"/>
        </w:rPr>
        <w:t xml:space="preserve">ourt’s consent </w:t>
      </w:r>
      <w:r w:rsidRPr="004F7305">
        <w:rPr>
          <w:color w:val="000000" w:themeColor="text1"/>
        </w:rPr>
        <w:t>(</w:t>
      </w:r>
      <w:r>
        <w:rPr>
          <w:color w:val="000000" w:themeColor="text1"/>
        </w:rPr>
        <w:t>s</w:t>
      </w:r>
      <w:r w:rsidRPr="001C2A5E">
        <w:rPr>
          <w:color w:val="000000" w:themeColor="text1"/>
        </w:rPr>
        <w:t>ection 3(5) of the Children Act 1989</w:t>
      </w:r>
      <w:r w:rsidRPr="004F7305">
        <w:rPr>
          <w:color w:val="000000" w:themeColor="text1"/>
        </w:rPr>
        <w:t>).</w:t>
      </w:r>
      <w:r w:rsidRPr="0074692B">
        <w:rPr>
          <w:color w:val="000000" w:themeColor="text1"/>
        </w:rPr>
        <w:br/>
      </w:r>
    </w:p>
    <w:p w:rsidR="001A3337" w:rsidRPr="002517B9" w:rsidRDefault="001A3337" w:rsidP="001A3337">
      <w:pPr>
        <w:rPr>
          <w:b/>
          <w:color w:val="000000" w:themeColor="text1"/>
          <w:sz w:val="28"/>
          <w:szCs w:val="28"/>
        </w:rPr>
      </w:pPr>
      <w:r w:rsidRPr="002517B9">
        <w:rPr>
          <w:b/>
          <w:color w:val="000000" w:themeColor="text1"/>
          <w:sz w:val="28"/>
          <w:szCs w:val="28"/>
        </w:rPr>
        <w:t>United Nations Convention on the Rights of the Child (UNCRC)</w:t>
      </w:r>
    </w:p>
    <w:p w:rsidR="001A3337" w:rsidRDefault="001A3337" w:rsidP="001A3337">
      <w:pPr>
        <w:rPr>
          <w:color w:val="000000" w:themeColor="text1"/>
        </w:rPr>
      </w:pPr>
    </w:p>
    <w:p w:rsidR="001A3337" w:rsidRDefault="001A3337" w:rsidP="001A3337">
      <w:pPr>
        <w:rPr>
          <w:color w:val="000000" w:themeColor="text1"/>
        </w:rPr>
      </w:pPr>
      <w:r w:rsidRPr="0074692B">
        <w:rPr>
          <w:color w:val="000000" w:themeColor="text1"/>
        </w:rPr>
        <w:t>The Welsh Government is committed to the UNCRC as the underpinning basis for its policies concerning children and young people. The approach outlined in this document is based upon and consistent with UNCRC provisions, which include</w:t>
      </w:r>
      <w:r>
        <w:rPr>
          <w:color w:val="000000" w:themeColor="text1"/>
        </w:rPr>
        <w:t xml:space="preserve"> that</w:t>
      </w:r>
      <w:r w:rsidRPr="0074692B">
        <w:rPr>
          <w:color w:val="000000" w:themeColor="text1"/>
        </w:rPr>
        <w:t xml:space="preserve">: </w:t>
      </w:r>
      <w:r w:rsidRPr="0074692B">
        <w:rPr>
          <w:color w:val="000000" w:themeColor="text1"/>
        </w:rPr>
        <w:br/>
      </w:r>
    </w:p>
    <w:p w:rsidR="001A3337" w:rsidRDefault="001A3337" w:rsidP="001A3337">
      <w:pPr>
        <w:pStyle w:val="ListParagraph"/>
        <w:numPr>
          <w:ilvl w:val="0"/>
          <w:numId w:val="9"/>
        </w:numPr>
        <w:ind w:left="567" w:hanging="567"/>
        <w:rPr>
          <w:color w:val="000000" w:themeColor="text1"/>
        </w:rPr>
      </w:pPr>
      <w:r w:rsidRPr="001C2A5E">
        <w:rPr>
          <w:color w:val="000000" w:themeColor="text1"/>
        </w:rPr>
        <w:t>children have a right to an education (Article 28)</w:t>
      </w:r>
    </w:p>
    <w:p w:rsidR="001A3337" w:rsidRDefault="001A3337" w:rsidP="001A3337">
      <w:pPr>
        <w:pStyle w:val="ListParagraph"/>
        <w:numPr>
          <w:ilvl w:val="0"/>
          <w:numId w:val="9"/>
        </w:numPr>
        <w:ind w:left="567" w:hanging="567"/>
        <w:rPr>
          <w:color w:val="000000" w:themeColor="text1"/>
        </w:rPr>
      </w:pPr>
      <w:r w:rsidRPr="001C2A5E">
        <w:rPr>
          <w:color w:val="000000" w:themeColor="text1"/>
        </w:rPr>
        <w:t>adults should think about the best interests of children and young people when making choices that affect them (Article 3)</w:t>
      </w:r>
    </w:p>
    <w:p w:rsidR="001A3337" w:rsidRDefault="001A3337" w:rsidP="001A3337">
      <w:pPr>
        <w:pStyle w:val="ListParagraph"/>
        <w:numPr>
          <w:ilvl w:val="0"/>
          <w:numId w:val="9"/>
        </w:numPr>
        <w:ind w:left="567" w:hanging="567"/>
        <w:rPr>
          <w:color w:val="000000" w:themeColor="text1"/>
        </w:rPr>
      </w:pPr>
      <w:r w:rsidRPr="001C2A5E">
        <w:rPr>
          <w:color w:val="000000" w:themeColor="text1"/>
        </w:rPr>
        <w:t>children who have any kind of disability should have the care and support required so that they can lead full and decent lives (Article 23)</w:t>
      </w:r>
    </w:p>
    <w:p w:rsidR="001A3337" w:rsidRPr="001C2A5E" w:rsidRDefault="001A3337" w:rsidP="001A3337">
      <w:pPr>
        <w:pStyle w:val="ListParagraph"/>
        <w:numPr>
          <w:ilvl w:val="0"/>
          <w:numId w:val="9"/>
        </w:numPr>
        <w:ind w:left="567" w:hanging="567"/>
        <w:rPr>
          <w:color w:val="000000" w:themeColor="text1"/>
        </w:rPr>
      </w:pPr>
      <w:proofErr w:type="gramStart"/>
      <w:r w:rsidRPr="001C2A5E">
        <w:rPr>
          <w:color w:val="000000" w:themeColor="text1"/>
        </w:rPr>
        <w:t>every</w:t>
      </w:r>
      <w:proofErr w:type="gramEnd"/>
      <w:r w:rsidRPr="001C2A5E">
        <w:rPr>
          <w:color w:val="000000" w:themeColor="text1"/>
        </w:rPr>
        <w:t xml:space="preserve"> child has the right to say what they think in all matters affecting them, and to have their views taken seriously (Article 12). </w:t>
      </w:r>
    </w:p>
    <w:p w:rsidR="001A3337" w:rsidRDefault="001A3337" w:rsidP="001A3337">
      <w:pPr>
        <w:ind w:left="567" w:hanging="567"/>
        <w:rPr>
          <w:b/>
          <w:color w:val="000000" w:themeColor="text1"/>
        </w:rPr>
      </w:pPr>
    </w:p>
    <w:p w:rsidR="001A3337" w:rsidRDefault="001A3337" w:rsidP="001A3337">
      <w:pPr>
        <w:rPr>
          <w:color w:val="000000" w:themeColor="text1"/>
        </w:rPr>
      </w:pPr>
      <w:r w:rsidRPr="002517B9">
        <w:rPr>
          <w:b/>
          <w:color w:val="000000" w:themeColor="text1"/>
          <w:sz w:val="28"/>
          <w:szCs w:val="28"/>
        </w:rPr>
        <w:t>Other relevant provisions</w:t>
      </w:r>
      <w:r w:rsidRPr="002517B9">
        <w:rPr>
          <w:b/>
          <w:color w:val="000000" w:themeColor="text1"/>
          <w:sz w:val="28"/>
          <w:szCs w:val="28"/>
        </w:rPr>
        <w:br/>
      </w:r>
    </w:p>
    <w:p w:rsidR="001A3337" w:rsidRDefault="001A3337" w:rsidP="001A3337">
      <w:pPr>
        <w:rPr>
          <w:color w:val="000000" w:themeColor="text1"/>
        </w:rPr>
      </w:pPr>
      <w:r w:rsidRPr="00DC575F">
        <w:rPr>
          <w:color w:val="000000" w:themeColor="text1"/>
        </w:rPr>
        <w:t xml:space="preserve">The </w:t>
      </w:r>
      <w:r w:rsidRPr="001C2A5E">
        <w:rPr>
          <w:color w:val="000000" w:themeColor="text1"/>
        </w:rPr>
        <w:t>Data Protection Act 1998</w:t>
      </w:r>
      <w:r w:rsidRPr="0074692B">
        <w:rPr>
          <w:color w:val="000000" w:themeColor="text1"/>
        </w:rPr>
        <w:t xml:space="preserve"> regulates the processing of personal data, which includes the holding and disclosure of it.</w:t>
      </w:r>
    </w:p>
    <w:p w:rsidR="001A3337" w:rsidRPr="0074692B" w:rsidRDefault="001A3337" w:rsidP="001A3337">
      <w:pPr>
        <w:rPr>
          <w:color w:val="000000" w:themeColor="text1"/>
        </w:rPr>
      </w:pPr>
    </w:p>
    <w:p w:rsidR="001A3337" w:rsidRPr="0074692B" w:rsidRDefault="001A3337" w:rsidP="001A3337">
      <w:pPr>
        <w:rPr>
          <w:color w:val="000000" w:themeColor="text1"/>
        </w:rPr>
      </w:pPr>
      <w:r w:rsidRPr="00DC575F">
        <w:rPr>
          <w:color w:val="000000" w:themeColor="text1"/>
        </w:rPr>
        <w:t xml:space="preserve">The </w:t>
      </w:r>
      <w:r w:rsidRPr="001C2A5E">
        <w:rPr>
          <w:color w:val="000000" w:themeColor="text1"/>
        </w:rPr>
        <w:t>Learner Travel (Wales) Measure 2008</w:t>
      </w:r>
      <w:r w:rsidRPr="00DC575F">
        <w:rPr>
          <w:color w:val="000000" w:themeColor="text1"/>
        </w:rPr>
        <w:t xml:space="preserve"> places</w:t>
      </w:r>
      <w:r w:rsidRPr="0074692B">
        <w:rPr>
          <w:color w:val="000000" w:themeColor="text1"/>
        </w:rPr>
        <w:t xml:space="preserve"> duties on local authorities and governing bodies in relation to home</w:t>
      </w:r>
      <w:r>
        <w:rPr>
          <w:color w:val="000000" w:themeColor="text1"/>
        </w:rPr>
        <w:t>‒</w:t>
      </w:r>
      <w:r w:rsidRPr="0074692B">
        <w:rPr>
          <w:color w:val="000000" w:themeColor="text1"/>
        </w:rPr>
        <w:t>school transport.</w:t>
      </w:r>
    </w:p>
    <w:p w:rsidR="001A3337" w:rsidRDefault="001A3337" w:rsidP="001A3337">
      <w:pPr>
        <w:rPr>
          <w:color w:val="000000" w:themeColor="text1"/>
        </w:rPr>
      </w:pPr>
    </w:p>
    <w:p w:rsidR="001A3337" w:rsidRDefault="001A3337" w:rsidP="001A3337">
      <w:pPr>
        <w:rPr>
          <w:color w:val="000000" w:themeColor="text1"/>
        </w:rPr>
      </w:pPr>
      <w:r w:rsidRPr="0074692B">
        <w:rPr>
          <w:color w:val="000000" w:themeColor="text1"/>
        </w:rPr>
        <w:t xml:space="preserve">The </w:t>
      </w:r>
      <w:r w:rsidRPr="001C2A5E">
        <w:rPr>
          <w:color w:val="000000" w:themeColor="text1"/>
        </w:rPr>
        <w:t xml:space="preserve">Misuse of Drugs Act 1971 </w:t>
      </w:r>
      <w:r w:rsidRPr="00DC575F">
        <w:rPr>
          <w:color w:val="000000" w:themeColor="text1"/>
        </w:rPr>
        <w:t>and regulations deal</w:t>
      </w:r>
      <w:r>
        <w:rPr>
          <w:color w:val="000000" w:themeColor="text1"/>
        </w:rPr>
        <w:t>s</w:t>
      </w:r>
      <w:r w:rsidRPr="00DC575F">
        <w:rPr>
          <w:color w:val="000000" w:themeColor="text1"/>
        </w:rPr>
        <w:t xml:space="preserve"> with restrictions (</w:t>
      </w:r>
      <w:r>
        <w:rPr>
          <w:color w:val="000000" w:themeColor="text1"/>
        </w:rPr>
        <w:t>e.g.</w:t>
      </w:r>
      <w:r w:rsidRPr="00DC575F">
        <w:rPr>
          <w:color w:val="000000" w:themeColor="text1"/>
        </w:rPr>
        <w:t xml:space="preserve"> concern</w:t>
      </w:r>
      <w:r>
        <w:rPr>
          <w:color w:val="000000" w:themeColor="text1"/>
        </w:rPr>
        <w:t>ing</w:t>
      </w:r>
      <w:r w:rsidRPr="00DC575F">
        <w:rPr>
          <w:color w:val="000000" w:themeColor="text1"/>
        </w:rPr>
        <w:t xml:space="preserve"> supply and possession) on drugs which are controlled. Learners may be prescribed controlled drugs.</w:t>
      </w:r>
    </w:p>
    <w:p w:rsidR="001A3337" w:rsidRDefault="001A3337" w:rsidP="001A3337"/>
    <w:p w:rsidR="001A3337" w:rsidRDefault="001A3337" w:rsidP="001A3337">
      <w:pPr>
        <w:pStyle w:val="ListParagraph"/>
        <w:numPr>
          <w:ilvl w:val="0"/>
          <w:numId w:val="1"/>
        </w:numPr>
        <w:rPr>
          <w:u w:val="single"/>
        </w:rPr>
      </w:pPr>
      <w:r w:rsidRPr="001A3337">
        <w:rPr>
          <w:u w:val="single"/>
        </w:rPr>
        <w:t xml:space="preserve">Roles and responsibilities. </w:t>
      </w:r>
    </w:p>
    <w:p w:rsidR="001A3337" w:rsidRDefault="001A3337" w:rsidP="001A3337">
      <w:pPr>
        <w:rPr>
          <w:u w:val="single"/>
        </w:rPr>
      </w:pPr>
    </w:p>
    <w:p w:rsidR="001A3337" w:rsidRDefault="001A3337" w:rsidP="001A3337">
      <w:pPr>
        <w:rPr>
          <w:u w:val="single"/>
        </w:rPr>
      </w:pPr>
    </w:p>
    <w:p w:rsidR="001A3337" w:rsidRPr="001A3337" w:rsidRDefault="001A3337" w:rsidP="001A3337">
      <w:pPr>
        <w:rPr>
          <w:u w:val="single"/>
        </w:rPr>
      </w:pPr>
    </w:p>
    <w:p w:rsidR="001A3337" w:rsidRDefault="001A3337" w:rsidP="001A3337">
      <w:pPr>
        <w:rPr>
          <w:color w:val="000000" w:themeColor="text1"/>
        </w:rPr>
      </w:pPr>
      <w:r>
        <w:rPr>
          <w:color w:val="000000" w:themeColor="text1"/>
        </w:rPr>
        <w:t>The following</w:t>
      </w:r>
      <w:r w:rsidRPr="00882D0F">
        <w:rPr>
          <w:color w:val="000000" w:themeColor="text1"/>
        </w:rPr>
        <w:t xml:space="preserve"> </w:t>
      </w:r>
      <w:r>
        <w:rPr>
          <w:color w:val="000000" w:themeColor="text1"/>
        </w:rPr>
        <w:t>represents</w:t>
      </w:r>
      <w:r w:rsidRPr="00882D0F">
        <w:rPr>
          <w:color w:val="000000" w:themeColor="text1"/>
        </w:rPr>
        <w:t xml:space="preserve"> a minimum</w:t>
      </w:r>
      <w:r>
        <w:rPr>
          <w:color w:val="000000" w:themeColor="text1"/>
        </w:rPr>
        <w:t xml:space="preserve"> </w:t>
      </w:r>
      <w:r w:rsidRPr="00882D0F">
        <w:rPr>
          <w:color w:val="000000" w:themeColor="text1"/>
        </w:rPr>
        <w:t>standard of expected practice</w:t>
      </w:r>
      <w:r>
        <w:rPr>
          <w:color w:val="000000" w:themeColor="text1"/>
        </w:rPr>
        <w:t>, although roles may differ between education settings.</w:t>
      </w:r>
    </w:p>
    <w:p w:rsidR="001A3337" w:rsidRDefault="001A3337" w:rsidP="001A3337">
      <w:pPr>
        <w:rPr>
          <w:color w:val="000000" w:themeColor="text1"/>
        </w:rPr>
      </w:pPr>
      <w:r w:rsidRPr="00882D0F">
        <w:rPr>
          <w:color w:val="000000" w:themeColor="text1"/>
        </w:rPr>
        <w:t xml:space="preserve">  </w:t>
      </w:r>
      <w:r>
        <w:rPr>
          <w:color w:val="000000" w:themeColor="text1"/>
        </w:rPr>
        <w:t xml:space="preserve"> </w:t>
      </w:r>
    </w:p>
    <w:p w:rsidR="001A3337" w:rsidRDefault="001A3337" w:rsidP="001A3337">
      <w:pPr>
        <w:pStyle w:val="Heading3"/>
        <w:keepNext w:val="0"/>
        <w:keepLines w:val="0"/>
        <w:numPr>
          <w:ilvl w:val="0"/>
          <w:numId w:val="11"/>
        </w:numPr>
        <w:spacing w:before="0"/>
        <w:ind w:left="567" w:hanging="567"/>
        <w:rPr>
          <w:rFonts w:ascii="Arial" w:hAnsi="Arial" w:cs="Arial"/>
          <w:color w:val="000000" w:themeColor="text1"/>
        </w:rPr>
      </w:pPr>
      <w:bookmarkStart w:id="1" w:name="_Toc457845450"/>
      <w:bookmarkStart w:id="2" w:name="_Toc457845697"/>
      <w:r w:rsidRPr="00E11B07">
        <w:rPr>
          <w:rFonts w:ascii="Arial" w:hAnsi="Arial" w:cs="Arial"/>
          <w:color w:val="000000" w:themeColor="text1"/>
        </w:rPr>
        <w:t>Local authorities</w:t>
      </w:r>
      <w:bookmarkEnd w:id="1"/>
      <w:bookmarkEnd w:id="2"/>
    </w:p>
    <w:p w:rsidR="001A3337" w:rsidRPr="001C2A5E" w:rsidRDefault="001A3337" w:rsidP="001A3337">
      <w:r w:rsidRPr="001C2A5E">
        <w:t>Local authorities</w:t>
      </w:r>
      <w:r>
        <w:t xml:space="preserve"> should ensure education provision is available to learners, and</w:t>
      </w:r>
      <w:r w:rsidRPr="001C2A5E">
        <w:t>:</w:t>
      </w:r>
    </w:p>
    <w:p w:rsidR="001A3337" w:rsidRPr="001C2A5E" w:rsidRDefault="001A3337" w:rsidP="001A3337"/>
    <w:p w:rsidR="001A3337" w:rsidRDefault="001A3337" w:rsidP="001A3337">
      <w:pPr>
        <w:pStyle w:val="ListParagraph"/>
        <w:numPr>
          <w:ilvl w:val="0"/>
          <w:numId w:val="10"/>
        </w:numPr>
        <w:ind w:left="567" w:hanging="567"/>
        <w:contextualSpacing w:val="0"/>
        <w:rPr>
          <w:color w:val="000000" w:themeColor="text1"/>
        </w:rPr>
      </w:pPr>
      <w:proofErr w:type="gramStart"/>
      <w:r w:rsidRPr="00F15934">
        <w:rPr>
          <w:color w:val="000000" w:themeColor="text1"/>
        </w:rPr>
        <w:t>must</w:t>
      </w:r>
      <w:proofErr w:type="gramEnd"/>
      <w:r w:rsidRPr="00F15934">
        <w:rPr>
          <w:color w:val="000000" w:themeColor="text1"/>
        </w:rPr>
        <w:t xml:space="preserve">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w:t>
      </w:r>
      <w:r>
        <w:rPr>
          <w:color w:val="000000" w:themeColor="text1"/>
        </w:rPr>
        <w:t xml:space="preserve">on </w:t>
      </w:r>
      <w:r w:rsidRPr="00F15934">
        <w:rPr>
          <w:color w:val="000000" w:themeColor="text1"/>
        </w:rPr>
        <w:t xml:space="preserve">the delivery of service, as delays could be detrimental to the education and </w:t>
      </w:r>
    </w:p>
    <w:p w:rsidR="001A3337" w:rsidRPr="00C53C90" w:rsidRDefault="001A3337" w:rsidP="001A3337">
      <w:pPr>
        <w:pStyle w:val="ListParagraph"/>
        <w:ind w:left="567"/>
        <w:contextualSpacing w:val="0"/>
        <w:rPr>
          <w:color w:val="000000" w:themeColor="text1"/>
        </w:rPr>
      </w:pPr>
      <w:proofErr w:type="gramStart"/>
      <w:r w:rsidRPr="00F15934">
        <w:rPr>
          <w:color w:val="000000" w:themeColor="text1"/>
        </w:rPr>
        <w:t>well-being</w:t>
      </w:r>
      <w:proofErr w:type="gramEnd"/>
      <w:r w:rsidRPr="00F15934">
        <w:rPr>
          <w:color w:val="000000" w:themeColor="text1"/>
        </w:rPr>
        <w:t xml:space="preserve"> of the learner </w:t>
      </w:r>
    </w:p>
    <w:p w:rsidR="001A3337" w:rsidRPr="005A7DF5" w:rsidRDefault="001A3337" w:rsidP="001A3337">
      <w:pPr>
        <w:pStyle w:val="ListParagraph"/>
        <w:numPr>
          <w:ilvl w:val="0"/>
          <w:numId w:val="10"/>
        </w:numPr>
        <w:ind w:left="567" w:hanging="567"/>
        <w:contextualSpacing w:val="0"/>
        <w:rPr>
          <w:color w:val="000000" w:themeColor="text1"/>
        </w:rPr>
      </w:pPr>
      <w:proofErr w:type="gramStart"/>
      <w:r w:rsidRPr="005B335C">
        <w:rPr>
          <w:color w:val="000000" w:themeColor="text1"/>
        </w:rPr>
        <w:t>must</w:t>
      </w:r>
      <w:proofErr w:type="gramEnd"/>
      <w:r w:rsidRPr="005B335C">
        <w:rPr>
          <w:color w:val="000000" w:themeColor="text1"/>
        </w:rPr>
        <w:t xml:space="preserve"> make arrangements to promote cooperation between various bodies or persons, with a view to improving, among other things, the well-being of children in relation to their physical and mental health, their education, training and recreation</w:t>
      </w:r>
      <w:r w:rsidRPr="001C2A5E">
        <w:rPr>
          <w:vertAlign w:val="superscript"/>
        </w:rPr>
        <w:footnoteReference w:id="1"/>
      </w:r>
      <w:r w:rsidRPr="005B335C">
        <w:rPr>
          <w:color w:val="000000" w:themeColor="text1"/>
        </w:rPr>
        <w:t xml:space="preserve">.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w:t>
      </w:r>
      <w:r>
        <w:rPr>
          <w:color w:val="000000" w:themeColor="text1"/>
        </w:rPr>
        <w:t>c</w:t>
      </w:r>
      <w:r w:rsidRPr="005B335C">
        <w:rPr>
          <w:color w:val="000000" w:themeColor="text1"/>
        </w:rPr>
        <w:t xml:space="preserve">oordinators who can support service providers to develop appropriate agreements </w:t>
      </w:r>
    </w:p>
    <w:p w:rsidR="001A3337" w:rsidRPr="00C23B16"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must</w:t>
      </w:r>
      <w:proofErr w:type="gramEnd"/>
      <w:r w:rsidRPr="00C44013">
        <w:rPr>
          <w:color w:val="000000" w:themeColor="text1"/>
        </w:rPr>
        <w:t xml:space="preserve"> make reasonable provision of counselling services for young people aged </w:t>
      </w:r>
      <w:r>
        <w:rPr>
          <w:color w:val="000000" w:themeColor="text1"/>
        </w:rPr>
        <w:t>11‒</w:t>
      </w:r>
      <w:r w:rsidRPr="00C44013">
        <w:rPr>
          <w:color w:val="000000" w:themeColor="text1"/>
        </w:rPr>
        <w:t xml:space="preserve">18 and </w:t>
      </w:r>
      <w:r>
        <w:rPr>
          <w:color w:val="000000" w:themeColor="text1"/>
        </w:rPr>
        <w:t>learners</w:t>
      </w:r>
      <w:r w:rsidRPr="00C44013">
        <w:rPr>
          <w:color w:val="000000" w:themeColor="text1"/>
        </w:rPr>
        <w:t xml:space="preserve"> in </w:t>
      </w:r>
      <w:r>
        <w:rPr>
          <w:color w:val="000000" w:themeColor="text1"/>
        </w:rPr>
        <w:t>Y</w:t>
      </w:r>
      <w:r w:rsidRPr="00C44013">
        <w:rPr>
          <w:color w:val="000000" w:themeColor="text1"/>
        </w:rPr>
        <w:t>ear 6 of primary school</w:t>
      </w:r>
      <w:r w:rsidRPr="001C2A5E">
        <w:rPr>
          <w:vertAlign w:val="superscript"/>
        </w:rPr>
        <w:footnoteReference w:id="2"/>
      </w:r>
      <w:r w:rsidRPr="00C44013">
        <w:rPr>
          <w:color w:val="000000" w:themeColor="text1"/>
        </w:rPr>
        <w:t xml:space="preserve">. </w:t>
      </w:r>
      <w:r>
        <w:rPr>
          <w:color w:val="000000" w:themeColor="text1"/>
        </w:rPr>
        <w:t>Within schools,</w:t>
      </w:r>
      <w:r w:rsidRPr="00C44013">
        <w:rPr>
          <w:color w:val="000000" w:themeColor="text1"/>
        </w:rPr>
        <w:t xml:space="preserve"> </w:t>
      </w:r>
      <w:r>
        <w:rPr>
          <w:color w:val="000000" w:themeColor="text1"/>
        </w:rPr>
        <w:t xml:space="preserve">this </w:t>
      </w:r>
      <w:r w:rsidRPr="00C44013">
        <w:rPr>
          <w:color w:val="000000" w:themeColor="text1"/>
        </w:rPr>
        <w:t xml:space="preserve">provision </w:t>
      </w:r>
      <w:r>
        <w:rPr>
          <w:color w:val="000000" w:themeColor="text1"/>
        </w:rPr>
        <w:t>should complement</w:t>
      </w:r>
      <w:r w:rsidRPr="008C5441">
        <w:rPr>
          <w:color w:val="000000" w:themeColor="text1"/>
        </w:rPr>
        <w:t xml:space="preserve"> the different approaches already in place to support the health, emotional and social needs of </w:t>
      </w:r>
      <w:r>
        <w:rPr>
          <w:color w:val="000000" w:themeColor="text1"/>
        </w:rPr>
        <w:t>learners</w:t>
      </w:r>
    </w:p>
    <w:p w:rsidR="001A3337" w:rsidRDefault="001A3337" w:rsidP="001A3337">
      <w:pPr>
        <w:pStyle w:val="ListParagraph"/>
        <w:numPr>
          <w:ilvl w:val="0"/>
          <w:numId w:val="10"/>
        </w:numPr>
        <w:ind w:left="567" w:hanging="567"/>
        <w:contextualSpacing w:val="0"/>
        <w:rPr>
          <w:color w:val="000000" w:themeColor="text1"/>
        </w:rPr>
      </w:pPr>
      <w:proofErr w:type="gramStart"/>
      <w:r w:rsidRPr="00F15934">
        <w:rPr>
          <w:color w:val="000000" w:themeColor="text1"/>
        </w:rPr>
        <w:t>should</w:t>
      </w:r>
      <w:proofErr w:type="gramEnd"/>
      <w:r w:rsidRPr="00F15934">
        <w:rPr>
          <w:color w:val="000000" w:themeColor="text1"/>
        </w:rPr>
        <w:t xml:space="preserve"> work with education settings to ensure learners with healthcare needs receive</w:t>
      </w:r>
      <w:r>
        <w:rPr>
          <w:color w:val="000000" w:themeColor="text1"/>
        </w:rPr>
        <w:t xml:space="preserve"> a</w:t>
      </w:r>
      <w:r w:rsidRPr="00F15934">
        <w:rPr>
          <w:color w:val="000000" w:themeColor="text1"/>
        </w:rPr>
        <w:t xml:space="preserve"> suitable education. Where a learner of compulsory school age would not receive a suitable education for any period because of their health, the local authority has a duty to make arrangements to provide suitable education</w:t>
      </w:r>
      <w:r w:rsidRPr="001C2A5E">
        <w:rPr>
          <w:color w:val="000000" w:themeColor="text1"/>
          <w:vertAlign w:val="superscript"/>
        </w:rPr>
        <w:footnoteReference w:id="3"/>
      </w:r>
      <w:r w:rsidRPr="00F15934">
        <w:rPr>
          <w:color w:val="000000" w:themeColor="text1"/>
        </w:rPr>
        <w:t xml:space="preserve">. If a learner is over that </w:t>
      </w:r>
      <w:r w:rsidRPr="0019052A">
        <w:rPr>
          <w:color w:val="000000" w:themeColor="text1"/>
        </w:rPr>
        <w:t xml:space="preserve">compulsory school age </w:t>
      </w:r>
      <w:r w:rsidRPr="00F15934">
        <w:rPr>
          <w:color w:val="000000" w:themeColor="text1"/>
        </w:rPr>
        <w:t xml:space="preserve">but under 18, the local authority may make such arrangements </w:t>
      </w:r>
    </w:p>
    <w:p w:rsidR="001A3337" w:rsidRDefault="001A3337" w:rsidP="001A3337">
      <w:pPr>
        <w:pStyle w:val="ListParagraph"/>
        <w:numPr>
          <w:ilvl w:val="0"/>
          <w:numId w:val="10"/>
        </w:numPr>
        <w:ind w:left="567" w:hanging="567"/>
        <w:contextualSpacing w:val="0"/>
        <w:rPr>
          <w:color w:val="000000" w:themeColor="text1"/>
        </w:rPr>
      </w:pPr>
      <w:r w:rsidRPr="00F15934">
        <w:rPr>
          <w:color w:val="000000" w:themeColor="text1"/>
        </w:rPr>
        <w:t xml:space="preserve">should provide support, advice and guidance, including </w:t>
      </w:r>
      <w:r>
        <w:rPr>
          <w:color w:val="000000" w:themeColor="text1"/>
        </w:rPr>
        <w:t xml:space="preserve">how to </w:t>
      </w:r>
      <w:r w:rsidRPr="00F15934">
        <w:rPr>
          <w:color w:val="000000" w:themeColor="text1"/>
        </w:rPr>
        <w:t xml:space="preserve">meet the training needs of education setting staff, so that governing bodies can ensure the support specified within the individual healthcare plan </w:t>
      </w:r>
      <w:r>
        <w:rPr>
          <w:color w:val="000000" w:themeColor="text1"/>
        </w:rPr>
        <w:t xml:space="preserve">(IHP) (see ‘Section 3: Individual healthcare plans (IHPs)’ on page 23) </w:t>
      </w:r>
      <w:r w:rsidRPr="00F15934">
        <w:rPr>
          <w:color w:val="000000" w:themeColor="text1"/>
        </w:rPr>
        <w:t>can be delivered effectively</w:t>
      </w:r>
      <w:r>
        <w:rPr>
          <w:color w:val="000000" w:themeColor="text1"/>
        </w:rPr>
        <w:t>.</w:t>
      </w:r>
      <w:r w:rsidRPr="00F15934">
        <w:rPr>
          <w:color w:val="000000" w:themeColor="text1"/>
        </w:rPr>
        <w:t xml:space="preserve"> </w:t>
      </w:r>
    </w:p>
    <w:p w:rsidR="001A3337" w:rsidRPr="00F15934" w:rsidRDefault="001A3337" w:rsidP="001A3337">
      <w:pPr>
        <w:pStyle w:val="ListParagraph"/>
        <w:ind w:left="567"/>
        <w:contextualSpacing w:val="0"/>
        <w:rPr>
          <w:color w:val="000000" w:themeColor="text1"/>
        </w:rPr>
      </w:pPr>
    </w:p>
    <w:p w:rsidR="001A3337" w:rsidRPr="00E11B07" w:rsidRDefault="001A3337" w:rsidP="001A3337">
      <w:pPr>
        <w:pStyle w:val="ListParagraph"/>
        <w:ind w:left="1134" w:hanging="567"/>
        <w:rPr>
          <w:color w:val="000000" w:themeColor="text1"/>
        </w:rPr>
      </w:pPr>
    </w:p>
    <w:p w:rsidR="001A3337" w:rsidRPr="00E11B07" w:rsidRDefault="001A3337" w:rsidP="001A3337">
      <w:pPr>
        <w:pStyle w:val="Heading3"/>
        <w:keepNext w:val="0"/>
        <w:keepLines w:val="0"/>
        <w:numPr>
          <w:ilvl w:val="0"/>
          <w:numId w:val="11"/>
        </w:numPr>
        <w:spacing w:before="0"/>
        <w:ind w:left="567" w:hanging="567"/>
        <w:rPr>
          <w:rFonts w:ascii="Arial" w:hAnsi="Arial" w:cs="Arial"/>
          <w:color w:val="000000" w:themeColor="text1"/>
        </w:rPr>
      </w:pPr>
      <w:bookmarkStart w:id="3" w:name="_Toc424564451"/>
      <w:bookmarkStart w:id="4" w:name="_Toc424574123"/>
      <w:bookmarkStart w:id="5" w:name="_Toc424603183"/>
      <w:bookmarkStart w:id="6" w:name="_Toc424603422"/>
      <w:bookmarkStart w:id="7" w:name="_Toc426729826"/>
      <w:bookmarkStart w:id="8" w:name="_Toc426730136"/>
      <w:bookmarkStart w:id="9" w:name="_Toc426731201"/>
      <w:bookmarkStart w:id="10" w:name="_Toc427800804"/>
      <w:bookmarkStart w:id="11" w:name="_Toc427843079"/>
      <w:bookmarkStart w:id="12" w:name="_Toc433276901"/>
      <w:bookmarkStart w:id="13" w:name="_Toc433889944"/>
      <w:bookmarkStart w:id="14" w:name="_Toc440373471"/>
      <w:bookmarkStart w:id="15" w:name="_Toc457845451"/>
      <w:bookmarkStart w:id="16" w:name="_Toc457845698"/>
      <w:r w:rsidRPr="00C23B16">
        <w:rPr>
          <w:rFonts w:ascii="Arial" w:hAnsi="Arial" w:cs="Arial"/>
          <w:color w:val="000000" w:themeColor="text1"/>
        </w:rPr>
        <w:t>Governing bodies</w:t>
      </w:r>
      <w:bookmarkEnd w:id="3"/>
      <w:bookmarkEnd w:id="4"/>
      <w:bookmarkEnd w:id="5"/>
      <w:bookmarkEnd w:id="6"/>
      <w:bookmarkEnd w:id="7"/>
      <w:bookmarkEnd w:id="8"/>
      <w:bookmarkEnd w:id="9"/>
      <w:bookmarkEnd w:id="10"/>
      <w:bookmarkEnd w:id="11"/>
      <w:bookmarkEnd w:id="12"/>
      <w:bookmarkEnd w:id="13"/>
      <w:bookmarkEnd w:id="14"/>
      <w:bookmarkEnd w:id="15"/>
      <w:bookmarkEnd w:id="16"/>
      <w:r w:rsidRPr="00E11B07">
        <w:rPr>
          <w:rFonts w:ascii="Arial" w:hAnsi="Arial" w:cs="Arial"/>
          <w:color w:val="000000" w:themeColor="text1"/>
        </w:rPr>
        <w:t xml:space="preserve"> </w:t>
      </w:r>
    </w:p>
    <w:p w:rsidR="001A3337" w:rsidRDefault="001A3337" w:rsidP="001A3337">
      <w:pPr>
        <w:rPr>
          <w:color w:val="000000" w:themeColor="text1"/>
        </w:rPr>
      </w:pPr>
      <w:r w:rsidRPr="00C23B16">
        <w:rPr>
          <w:color w:val="000000" w:themeColor="text1"/>
        </w:rPr>
        <w:t>Governing bodies</w:t>
      </w:r>
      <w:r>
        <w:rPr>
          <w:color w:val="000000" w:themeColor="text1"/>
        </w:rPr>
        <w:t xml:space="preserve"> should oversee the development and implementation of arrangements, which should include:</w:t>
      </w:r>
    </w:p>
    <w:p w:rsidR="001A3337" w:rsidRPr="00C23B16" w:rsidRDefault="001A3337" w:rsidP="001A3337">
      <w:pPr>
        <w:ind w:left="567" w:hanging="567"/>
        <w:rPr>
          <w:color w:val="000000" w:themeColor="text1"/>
        </w:rPr>
      </w:pPr>
    </w:p>
    <w:p w:rsidR="001A3337" w:rsidRDefault="001A3337" w:rsidP="001A3337">
      <w:pPr>
        <w:pStyle w:val="ListParagraph"/>
        <w:numPr>
          <w:ilvl w:val="0"/>
          <w:numId w:val="10"/>
        </w:numPr>
        <w:ind w:left="567" w:hanging="567"/>
        <w:contextualSpacing w:val="0"/>
        <w:rPr>
          <w:color w:val="000000" w:themeColor="text1"/>
        </w:rPr>
      </w:pPr>
      <w:r w:rsidRPr="00C23B16">
        <w:rPr>
          <w:color w:val="000000" w:themeColor="text1"/>
        </w:rPr>
        <w:t>comply</w:t>
      </w:r>
      <w:r>
        <w:rPr>
          <w:color w:val="000000" w:themeColor="text1"/>
        </w:rPr>
        <w:t>ing</w:t>
      </w:r>
      <w:r w:rsidRPr="00C23B16">
        <w:rPr>
          <w:color w:val="000000" w:themeColor="text1"/>
        </w:rPr>
        <w:t xml:space="preserve"> with applicable statutory duties, including those under the Equality Act 2010 (</w:t>
      </w:r>
      <w:r>
        <w:rPr>
          <w:color w:val="000000" w:themeColor="text1"/>
        </w:rPr>
        <w:t>e.g.</w:t>
      </w:r>
      <w:r w:rsidRPr="00C23B16">
        <w:rPr>
          <w:color w:val="000000" w:themeColor="text1"/>
        </w:rPr>
        <w:t xml:space="preserve"> the duty to make reasonable adjustments in respect of learners with healthcare needs if they are disabled</w:t>
      </w:r>
      <w:r>
        <w:rPr>
          <w:color w:val="000000" w:themeColor="text1"/>
        </w:rPr>
        <w:t>, as outlined above</w:t>
      </w:r>
      <w:r w:rsidRPr="00C23B16">
        <w:rPr>
          <w:color w:val="000000" w:themeColor="text1"/>
        </w:rPr>
        <w:t>)</w:t>
      </w:r>
    </w:p>
    <w:p w:rsidR="001A3337" w:rsidRDefault="001A3337" w:rsidP="001A3337">
      <w:pPr>
        <w:pStyle w:val="ListParagraph"/>
        <w:numPr>
          <w:ilvl w:val="0"/>
          <w:numId w:val="10"/>
        </w:numPr>
        <w:ind w:left="567" w:hanging="567"/>
        <w:contextualSpacing w:val="0"/>
        <w:rPr>
          <w:color w:val="000000" w:themeColor="text1"/>
        </w:rPr>
      </w:pPr>
      <w:proofErr w:type="gramStart"/>
      <w:r w:rsidRPr="00677818">
        <w:rPr>
          <w:color w:val="000000" w:themeColor="text1"/>
        </w:rPr>
        <w:t>hav</w:t>
      </w:r>
      <w:r>
        <w:rPr>
          <w:color w:val="000000" w:themeColor="text1"/>
        </w:rPr>
        <w:t>ing</w:t>
      </w:r>
      <w:proofErr w:type="gramEnd"/>
      <w:r w:rsidRPr="00677818">
        <w:rPr>
          <w:color w:val="000000" w:themeColor="text1"/>
        </w:rPr>
        <w:t xml:space="preserve"> a statutory duty to promote the well-being of learners</w:t>
      </w:r>
      <w:r w:rsidRPr="00E91356">
        <w:rPr>
          <w:color w:val="000000" w:themeColor="text1"/>
        </w:rPr>
        <w:t>.</w:t>
      </w:r>
      <w:r>
        <w:rPr>
          <w:color w:val="000000" w:themeColor="text1"/>
        </w:rPr>
        <w:t xml:space="preserve"> </w:t>
      </w:r>
      <w:r w:rsidRPr="00C23B16">
        <w:rPr>
          <w:color w:val="000000" w:themeColor="text1"/>
        </w:rPr>
        <w:t>Schools s</w:t>
      </w:r>
      <w:r>
        <w:rPr>
          <w:color w:val="000000" w:themeColor="text1"/>
        </w:rPr>
        <w:t xml:space="preserve">hould </w:t>
      </w:r>
      <w:r w:rsidRPr="00C23B16">
        <w:rPr>
          <w:color w:val="000000" w:themeColor="text1"/>
        </w:rPr>
        <w:t xml:space="preserve">give consideration to how they can meet </w:t>
      </w:r>
      <w:r>
        <w:rPr>
          <w:color w:val="000000" w:themeColor="text1"/>
        </w:rPr>
        <w:t xml:space="preserve">these needs, </w:t>
      </w:r>
      <w:r w:rsidRPr="00C23B16">
        <w:rPr>
          <w:color w:val="000000" w:themeColor="text1"/>
        </w:rPr>
        <w:t>i</w:t>
      </w:r>
      <w:r>
        <w:rPr>
          <w:color w:val="000000" w:themeColor="text1"/>
        </w:rPr>
        <w:t>ncluding</w:t>
      </w:r>
      <w:r w:rsidRPr="00C23B16">
        <w:rPr>
          <w:color w:val="000000" w:themeColor="text1"/>
        </w:rPr>
        <w:t xml:space="preserve"> </w:t>
      </w:r>
      <w:r>
        <w:rPr>
          <w:color w:val="000000" w:themeColor="text1"/>
        </w:rPr>
        <w:t>providing learners</w:t>
      </w:r>
      <w:r w:rsidRPr="00C23B16">
        <w:rPr>
          <w:color w:val="000000" w:themeColor="text1"/>
        </w:rPr>
        <w:t xml:space="preserve"> access to information and material</w:t>
      </w:r>
      <w:r>
        <w:rPr>
          <w:color w:val="000000" w:themeColor="text1"/>
        </w:rPr>
        <w:t xml:space="preserve"> </w:t>
      </w:r>
      <w:r w:rsidRPr="00C23B16">
        <w:rPr>
          <w:color w:val="000000" w:themeColor="text1"/>
        </w:rPr>
        <w:t xml:space="preserve">aimed at </w:t>
      </w:r>
      <w:r>
        <w:rPr>
          <w:color w:val="000000" w:themeColor="text1"/>
        </w:rPr>
        <w:t>promoting</w:t>
      </w:r>
      <w:r w:rsidRPr="00C23B16">
        <w:rPr>
          <w:color w:val="000000" w:themeColor="text1"/>
        </w:rPr>
        <w:t xml:space="preserve"> spiritual and moral </w:t>
      </w:r>
    </w:p>
    <w:p w:rsidR="001A3337" w:rsidRDefault="001A3337" w:rsidP="001A3337">
      <w:pPr>
        <w:pStyle w:val="ListParagraph"/>
        <w:ind w:left="567"/>
        <w:contextualSpacing w:val="0"/>
        <w:rPr>
          <w:color w:val="000000" w:themeColor="text1"/>
        </w:rPr>
      </w:pPr>
      <w:proofErr w:type="gramStart"/>
      <w:r w:rsidRPr="00C23B16">
        <w:rPr>
          <w:color w:val="000000" w:themeColor="text1"/>
        </w:rPr>
        <w:t>well-being</w:t>
      </w:r>
      <w:proofErr w:type="gramEnd"/>
      <w:r>
        <w:rPr>
          <w:color w:val="000000" w:themeColor="text1"/>
        </w:rPr>
        <w:t xml:space="preserve"> and physical and mental health</w:t>
      </w:r>
      <w:r w:rsidRPr="00C23B16">
        <w:rPr>
          <w:color w:val="000000" w:themeColor="text1"/>
        </w:rPr>
        <w:t xml:space="preserve"> (Article 17 of the UNCRC)</w:t>
      </w:r>
    </w:p>
    <w:p w:rsidR="001A3337" w:rsidRPr="00C23B16" w:rsidRDefault="001A3337" w:rsidP="001A3337">
      <w:pPr>
        <w:pStyle w:val="ListParagraph"/>
        <w:numPr>
          <w:ilvl w:val="0"/>
          <w:numId w:val="10"/>
        </w:numPr>
        <w:ind w:left="567" w:hanging="567"/>
        <w:contextualSpacing w:val="0"/>
        <w:rPr>
          <w:color w:val="000000" w:themeColor="text1"/>
        </w:rPr>
      </w:pPr>
      <w:r w:rsidRPr="00B379E4">
        <w:rPr>
          <w:color w:val="000000" w:themeColor="text1"/>
        </w:rPr>
        <w:t>consider</w:t>
      </w:r>
      <w:r>
        <w:rPr>
          <w:color w:val="000000" w:themeColor="text1"/>
        </w:rPr>
        <w:t>ing</w:t>
      </w:r>
      <w:r w:rsidRPr="00B379E4">
        <w:rPr>
          <w:color w:val="000000" w:themeColor="text1"/>
        </w:rPr>
        <w:t xml:space="preserve"> how they can support learners to develop the skills</w:t>
      </w:r>
      <w:r>
        <w:rPr>
          <w:color w:val="000000" w:themeColor="text1"/>
        </w:rPr>
        <w:t>, knowledge</w:t>
      </w:r>
      <w:r w:rsidRPr="00B379E4">
        <w:rPr>
          <w:color w:val="000000" w:themeColor="text1"/>
        </w:rPr>
        <w:t xml:space="preserve"> and emotional resilience required to uphold their rights, and the rights of others </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ensur</w:t>
      </w:r>
      <w:r>
        <w:rPr>
          <w:color w:val="000000" w:themeColor="text1"/>
        </w:rPr>
        <w:t>ing</w:t>
      </w:r>
      <w:r w:rsidRPr="00C23B16">
        <w:rPr>
          <w:color w:val="000000" w:themeColor="text1"/>
        </w:rPr>
        <w:t xml:space="preserve"> the roles and responsibilities of all those involved in the arrangements to support the healthcare needs of learners are clear and understood by all those involved</w:t>
      </w:r>
      <w:r>
        <w:rPr>
          <w:color w:val="000000" w:themeColor="text1"/>
        </w:rPr>
        <w:t xml:space="preserve">, including any appropriate delegation of responsibilities or tasks to a </w:t>
      </w:r>
      <w:proofErr w:type="spellStart"/>
      <w:r>
        <w:rPr>
          <w:color w:val="000000" w:themeColor="text1"/>
        </w:rPr>
        <w:t>headteacher</w:t>
      </w:r>
      <w:proofErr w:type="spellEnd"/>
      <w:r>
        <w:rPr>
          <w:color w:val="000000" w:themeColor="text1"/>
        </w:rPr>
        <w:t>, member of staff or professional as appropriate</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work</w:t>
      </w:r>
      <w:r>
        <w:rPr>
          <w:color w:val="000000" w:themeColor="text1"/>
        </w:rPr>
        <w:t>ing</w:t>
      </w:r>
      <w:r w:rsidRPr="00C23B16">
        <w:rPr>
          <w:color w:val="000000" w:themeColor="text1"/>
        </w:rPr>
        <w:t xml:space="preserve"> collaboratively with parents and other professionals to </w:t>
      </w:r>
      <w:r>
        <w:rPr>
          <w:color w:val="000000" w:themeColor="text1"/>
        </w:rPr>
        <w:t>develop</w:t>
      </w:r>
      <w:r w:rsidRPr="00C23B16">
        <w:rPr>
          <w:color w:val="000000" w:themeColor="text1"/>
        </w:rPr>
        <w:t xml:space="preserve"> healthcare arrangements to meet the best interests of the </w:t>
      </w:r>
      <w:r>
        <w:rPr>
          <w:color w:val="000000" w:themeColor="text1"/>
        </w:rPr>
        <w:t>learner</w:t>
      </w:r>
    </w:p>
    <w:p w:rsidR="001A3337" w:rsidRPr="00C23B16"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developing</w:t>
      </w:r>
      <w:proofErr w:type="gramEnd"/>
      <w:r w:rsidRPr="00C23B16">
        <w:rPr>
          <w:color w:val="000000" w:themeColor="text1"/>
        </w:rPr>
        <w:t xml:space="preserve"> </w:t>
      </w:r>
      <w:r>
        <w:rPr>
          <w:color w:val="000000" w:themeColor="text1"/>
        </w:rPr>
        <w:t xml:space="preserve">and implementing effective </w:t>
      </w:r>
      <w:r w:rsidRPr="00C23B16">
        <w:rPr>
          <w:color w:val="000000" w:themeColor="text1"/>
        </w:rPr>
        <w:t xml:space="preserve">arrangements to support learners with healthcare needs. This should include </w:t>
      </w:r>
      <w:r>
        <w:rPr>
          <w:color w:val="000000" w:themeColor="text1"/>
        </w:rPr>
        <w:t xml:space="preserve">a </w:t>
      </w:r>
      <w:r w:rsidRPr="00C23B16">
        <w:rPr>
          <w:color w:val="000000" w:themeColor="text1"/>
        </w:rPr>
        <w:t xml:space="preserve">policy on healthcare needs and where appropriate, </w:t>
      </w:r>
      <w:r>
        <w:rPr>
          <w:color w:val="000000" w:themeColor="text1"/>
        </w:rPr>
        <w:t>IHP</w:t>
      </w:r>
      <w:r w:rsidRPr="00C23B16">
        <w:rPr>
          <w:color w:val="000000" w:themeColor="text1"/>
        </w:rPr>
        <w:t>s for particular learners</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ensur</w:t>
      </w:r>
      <w:r>
        <w:rPr>
          <w:color w:val="000000" w:themeColor="text1"/>
        </w:rPr>
        <w:t>ing</w:t>
      </w:r>
      <w:r w:rsidRPr="00C23B16">
        <w:rPr>
          <w:color w:val="000000" w:themeColor="text1"/>
        </w:rPr>
        <w:t xml:space="preserve"> arrangements </w:t>
      </w:r>
      <w:r>
        <w:rPr>
          <w:color w:val="000000" w:themeColor="text1"/>
        </w:rPr>
        <w:t xml:space="preserve">are in place </w:t>
      </w:r>
      <w:r w:rsidRPr="00C23B16">
        <w:rPr>
          <w:color w:val="000000" w:themeColor="text1"/>
        </w:rPr>
        <w:t>for the development, monitoring and review of the healthcare needs arrangements</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ensur</w:t>
      </w:r>
      <w:r>
        <w:rPr>
          <w:color w:val="000000" w:themeColor="text1"/>
        </w:rPr>
        <w:t>ing</w:t>
      </w:r>
      <w:r w:rsidRPr="00C23B16">
        <w:rPr>
          <w:color w:val="000000" w:themeColor="text1"/>
        </w:rPr>
        <w:t xml:space="preserve"> the arrangements are in line with other relevant policies and procedures, such as health and safety, first aid, risk assessments, </w:t>
      </w:r>
      <w:r>
        <w:rPr>
          <w:color w:val="000000" w:themeColor="text1"/>
        </w:rPr>
        <w:t xml:space="preserve">the </w:t>
      </w:r>
      <w:r w:rsidRPr="00C23B16">
        <w:rPr>
          <w:color w:val="000000" w:themeColor="text1"/>
        </w:rPr>
        <w:t>Data Protection Act 1998, safeguarding measures and emergency procedures</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ensur</w:t>
      </w:r>
      <w:r>
        <w:rPr>
          <w:color w:val="000000" w:themeColor="text1"/>
        </w:rPr>
        <w:t>ing</w:t>
      </w:r>
      <w:r w:rsidRPr="00C23B16">
        <w:rPr>
          <w:color w:val="000000" w:themeColor="text1"/>
        </w:rPr>
        <w:t xml:space="preserve"> robust systems are in place for dealing with healthcare emergencies and critical incidents, for both on</w:t>
      </w:r>
      <w:r>
        <w:rPr>
          <w:color w:val="000000" w:themeColor="text1"/>
        </w:rPr>
        <w:t>-</w:t>
      </w:r>
      <w:r w:rsidRPr="00C23B16">
        <w:rPr>
          <w:color w:val="000000" w:themeColor="text1"/>
        </w:rPr>
        <w:t xml:space="preserve"> and off-site activities</w:t>
      </w:r>
      <w:r>
        <w:rPr>
          <w:color w:val="000000" w:themeColor="text1"/>
        </w:rPr>
        <w:t>, including access to emergency medication such as inhalers or adrenaline pens</w:t>
      </w:r>
    </w:p>
    <w:p w:rsidR="001A3337" w:rsidRPr="00C23B16" w:rsidRDefault="001A3337" w:rsidP="001A3337">
      <w:pPr>
        <w:pStyle w:val="ListParagraph"/>
        <w:numPr>
          <w:ilvl w:val="0"/>
          <w:numId w:val="10"/>
        </w:numPr>
        <w:ind w:left="567" w:hanging="567"/>
        <w:contextualSpacing w:val="0"/>
        <w:rPr>
          <w:color w:val="000000" w:themeColor="text1"/>
        </w:rPr>
      </w:pPr>
      <w:proofErr w:type="gramStart"/>
      <w:r w:rsidRPr="00C23B16">
        <w:rPr>
          <w:color w:val="000000" w:themeColor="text1"/>
        </w:rPr>
        <w:t>ensur</w:t>
      </w:r>
      <w:r>
        <w:rPr>
          <w:color w:val="000000" w:themeColor="text1"/>
        </w:rPr>
        <w:t>ing</w:t>
      </w:r>
      <w:proofErr w:type="gramEnd"/>
      <w:r w:rsidRPr="00C23B16">
        <w:rPr>
          <w:color w:val="000000" w:themeColor="text1"/>
        </w:rPr>
        <w:t xml:space="preserve"> staff with responsibility for supporting learners with healthcare needs are appropriately trained</w:t>
      </w:r>
      <w:r>
        <w:rPr>
          <w:color w:val="000000" w:themeColor="text1"/>
        </w:rPr>
        <w:t xml:space="preserve"> (see ‘2.8 Training’ on page 17).</w:t>
      </w:r>
    </w:p>
    <w:p w:rsidR="001A3337" w:rsidRPr="00E11B07" w:rsidRDefault="001A3337" w:rsidP="001A3337">
      <w:pPr>
        <w:pStyle w:val="ListParagraph"/>
        <w:numPr>
          <w:ilvl w:val="0"/>
          <w:numId w:val="10"/>
        </w:numPr>
        <w:ind w:left="567" w:hanging="567"/>
        <w:contextualSpacing w:val="0"/>
      </w:pPr>
      <w:r w:rsidRPr="005B335C">
        <w:rPr>
          <w:color w:val="000000" w:themeColor="text1"/>
        </w:rPr>
        <w:t>ensur</w:t>
      </w:r>
      <w:r>
        <w:rPr>
          <w:color w:val="000000" w:themeColor="text1"/>
        </w:rPr>
        <w:t>ing</w:t>
      </w:r>
      <w:r w:rsidRPr="005B335C">
        <w:rPr>
          <w:color w:val="000000" w:themeColor="text1"/>
        </w:rPr>
        <w:t xml:space="preserve"> appropriate insurance cover </w:t>
      </w:r>
      <w:r>
        <w:rPr>
          <w:color w:val="000000" w:themeColor="text1"/>
        </w:rPr>
        <w:t xml:space="preserve">is </w:t>
      </w:r>
      <w:r w:rsidRPr="005B335C">
        <w:rPr>
          <w:color w:val="000000" w:themeColor="text1"/>
        </w:rPr>
        <w:t>in place</w:t>
      </w:r>
      <w:r>
        <w:rPr>
          <w:color w:val="000000" w:themeColor="text1"/>
        </w:rPr>
        <w:t xml:space="preserve">, </w:t>
      </w:r>
      <w:r w:rsidRPr="005B335C">
        <w:rPr>
          <w:color w:val="000000" w:themeColor="text1"/>
        </w:rPr>
        <w:t>any conditions are complied with</w:t>
      </w:r>
      <w:r>
        <w:rPr>
          <w:color w:val="000000" w:themeColor="text1"/>
        </w:rPr>
        <w:t xml:space="preserve"> and staff are clear on what </w:t>
      </w:r>
      <w:r w:rsidRPr="005B335C">
        <w:rPr>
          <w:color w:val="000000" w:themeColor="text1"/>
        </w:rPr>
        <w:t>this means for them</w:t>
      </w:r>
      <w:r>
        <w:rPr>
          <w:color w:val="000000" w:themeColor="text1"/>
        </w:rPr>
        <w:t xml:space="preserve"> when supporting learners</w:t>
      </w:r>
    </w:p>
    <w:p w:rsidR="001A3337" w:rsidRDefault="001A3337" w:rsidP="001A3337">
      <w:pPr>
        <w:pStyle w:val="ListParagraph"/>
        <w:numPr>
          <w:ilvl w:val="0"/>
          <w:numId w:val="10"/>
        </w:numPr>
        <w:ind w:left="567" w:hanging="567"/>
        <w:contextualSpacing w:val="0"/>
        <w:rPr>
          <w:color w:val="000000" w:themeColor="text1"/>
        </w:rPr>
      </w:pPr>
      <w:proofErr w:type="gramStart"/>
      <w:r w:rsidRPr="00E11B07">
        <w:t>hav</w:t>
      </w:r>
      <w:r>
        <w:t>ing</w:t>
      </w:r>
      <w:proofErr w:type="gramEnd"/>
      <w:r w:rsidRPr="00E11B07">
        <w:t xml:space="preserve"> an infection prevention policy that fully reflects the procedures laid out in current guidance</w:t>
      </w:r>
      <w:r w:rsidRPr="002517B9">
        <w:rPr>
          <w:rStyle w:val="FootnoteReference"/>
        </w:rPr>
        <w:footnoteReference w:id="4"/>
      </w:r>
      <w:r>
        <w:t>.</w:t>
      </w:r>
      <w:r>
        <w:rPr>
          <w:color w:val="1F497D"/>
        </w:rPr>
        <w:t xml:space="preserve"> </w:t>
      </w:r>
    </w:p>
    <w:p w:rsidR="001A3337" w:rsidRDefault="001A3337" w:rsidP="001A3337">
      <w:pPr>
        <w:ind w:left="567" w:hanging="567"/>
        <w:rPr>
          <w:color w:val="000000" w:themeColor="text1"/>
        </w:rPr>
      </w:pPr>
    </w:p>
    <w:p w:rsidR="001A3337" w:rsidRPr="00882D0F" w:rsidRDefault="001A3337" w:rsidP="001A3337">
      <w:pPr>
        <w:pStyle w:val="Heading3"/>
        <w:keepNext w:val="0"/>
        <w:keepLines w:val="0"/>
        <w:numPr>
          <w:ilvl w:val="0"/>
          <w:numId w:val="11"/>
        </w:numPr>
        <w:tabs>
          <w:tab w:val="left" w:pos="567"/>
        </w:tabs>
        <w:spacing w:before="0"/>
        <w:ind w:left="0" w:firstLine="0"/>
        <w:rPr>
          <w:rFonts w:ascii="Arial" w:hAnsi="Arial" w:cs="Arial"/>
          <w:color w:val="000000" w:themeColor="text1"/>
        </w:rPr>
      </w:pPr>
      <w:bookmarkStart w:id="17" w:name="_Toc457845452"/>
      <w:bookmarkStart w:id="18" w:name="_Toc457845699"/>
      <w:bookmarkStart w:id="19" w:name="_Toc424564452"/>
      <w:bookmarkStart w:id="20" w:name="_Toc424574124"/>
      <w:bookmarkStart w:id="21" w:name="_Toc424603184"/>
      <w:bookmarkStart w:id="22" w:name="_Toc424603423"/>
      <w:bookmarkStart w:id="23" w:name="_Toc426729827"/>
      <w:bookmarkStart w:id="24" w:name="_Toc426730137"/>
      <w:bookmarkStart w:id="25" w:name="_Toc426731202"/>
      <w:bookmarkStart w:id="26" w:name="_Toc427800805"/>
      <w:bookmarkStart w:id="27" w:name="_Toc427843080"/>
      <w:bookmarkStart w:id="28" w:name="_Toc433276902"/>
      <w:bookmarkStart w:id="29" w:name="_Toc433889945"/>
      <w:bookmarkStart w:id="30" w:name="_Toc440373472"/>
      <w:proofErr w:type="spellStart"/>
      <w:r w:rsidRPr="00882D0F">
        <w:rPr>
          <w:rFonts w:ascii="Arial" w:hAnsi="Arial" w:cs="Arial"/>
          <w:color w:val="000000" w:themeColor="text1"/>
        </w:rPr>
        <w:t>Headteachers</w:t>
      </w:r>
      <w:bookmarkEnd w:id="17"/>
      <w:bookmarkEnd w:id="18"/>
      <w:proofErr w:type="spellEnd"/>
      <w:r w:rsidRPr="00882D0F">
        <w:rPr>
          <w:rFonts w:ascii="Arial" w:hAnsi="Arial" w:cs="Arial"/>
          <w:color w:val="000000" w:themeColor="text1"/>
        </w:rPr>
        <w:t xml:space="preserve">  </w:t>
      </w:r>
    </w:p>
    <w:p w:rsidR="001A3337" w:rsidRDefault="001A3337" w:rsidP="001A3337">
      <w:pPr>
        <w:rPr>
          <w:color w:val="000000" w:themeColor="text1"/>
        </w:rPr>
      </w:pPr>
      <w:r>
        <w:rPr>
          <w:color w:val="000000" w:themeColor="text1"/>
        </w:rPr>
        <w:t>T</w:t>
      </w:r>
      <w:r w:rsidRPr="00882D0F">
        <w:rPr>
          <w:color w:val="000000" w:themeColor="text1"/>
        </w:rPr>
        <w:t xml:space="preserve">he </w:t>
      </w:r>
      <w:r w:rsidR="00CE669D" w:rsidRPr="00882D0F">
        <w:rPr>
          <w:color w:val="000000" w:themeColor="text1"/>
        </w:rPr>
        <w:t>Headteacher</w:t>
      </w:r>
      <w:r w:rsidRPr="00882D0F">
        <w:rPr>
          <w:color w:val="000000" w:themeColor="text1"/>
        </w:rPr>
        <w:t xml:space="preserve"> should ensure arrangements to meet the healthcare needs of their learners are sufficiently developed and effectively implemented</w:t>
      </w:r>
      <w:r>
        <w:rPr>
          <w:color w:val="000000" w:themeColor="text1"/>
        </w:rPr>
        <w:t>. This can include:</w:t>
      </w:r>
      <w:bookmarkEnd w:id="19"/>
      <w:bookmarkEnd w:id="20"/>
      <w:bookmarkEnd w:id="21"/>
      <w:bookmarkEnd w:id="22"/>
      <w:bookmarkEnd w:id="23"/>
      <w:bookmarkEnd w:id="24"/>
      <w:bookmarkEnd w:id="25"/>
      <w:bookmarkEnd w:id="26"/>
      <w:bookmarkEnd w:id="27"/>
      <w:bookmarkEnd w:id="28"/>
      <w:bookmarkEnd w:id="29"/>
      <w:bookmarkEnd w:id="30"/>
    </w:p>
    <w:p w:rsidR="001A3337" w:rsidRPr="00882D0F" w:rsidRDefault="001A3337" w:rsidP="001A3337">
      <w:pPr>
        <w:rPr>
          <w:color w:val="000000" w:themeColor="text1"/>
        </w:rPr>
      </w:pPr>
      <w:r w:rsidRPr="00882D0F">
        <w:rPr>
          <w:color w:val="000000" w:themeColor="text1"/>
        </w:rPr>
        <w:t xml:space="preserve"> </w:t>
      </w:r>
    </w:p>
    <w:p w:rsidR="001A3337" w:rsidRPr="00882D0F" w:rsidRDefault="001A3337" w:rsidP="001A3337">
      <w:pPr>
        <w:pStyle w:val="ListParagraph"/>
        <w:numPr>
          <w:ilvl w:val="0"/>
          <w:numId w:val="10"/>
        </w:numPr>
        <w:ind w:left="567" w:hanging="567"/>
        <w:contextualSpacing w:val="0"/>
        <w:rPr>
          <w:color w:val="000000" w:themeColor="text1"/>
        </w:rPr>
      </w:pPr>
      <w:r w:rsidRPr="00882D0F">
        <w:rPr>
          <w:color w:val="000000" w:themeColor="text1"/>
        </w:rPr>
        <w:t xml:space="preserve">working with the governing body to ensure compliance with applicable statutory duties when supporting learners with healthcare needs, including duties under the Equality Act 2010 </w:t>
      </w:r>
    </w:p>
    <w:p w:rsidR="001A3337" w:rsidRPr="00882D0F" w:rsidRDefault="001A3337" w:rsidP="001A3337">
      <w:pPr>
        <w:pStyle w:val="ListParagraph"/>
        <w:numPr>
          <w:ilvl w:val="0"/>
          <w:numId w:val="10"/>
        </w:numPr>
        <w:ind w:left="567" w:hanging="567"/>
        <w:contextualSpacing w:val="0"/>
        <w:rPr>
          <w:color w:val="000000" w:themeColor="text1"/>
        </w:rPr>
      </w:pPr>
      <w:proofErr w:type="gramStart"/>
      <w:r w:rsidRPr="00882D0F">
        <w:rPr>
          <w:color w:val="000000" w:themeColor="text1"/>
        </w:rPr>
        <w:t>ensuring</w:t>
      </w:r>
      <w:proofErr w:type="gramEnd"/>
      <w:r w:rsidRPr="00882D0F">
        <w:rPr>
          <w:color w:val="000000" w:themeColor="text1"/>
        </w:rPr>
        <w:t xml:space="preserve"> the arrangements in place to meet a learner’s healthcare needs are fully understood by all parties involved</w:t>
      </w:r>
      <w:r>
        <w:rPr>
          <w:color w:val="000000" w:themeColor="text1"/>
        </w:rPr>
        <w:t xml:space="preserve"> and</w:t>
      </w:r>
      <w:r w:rsidRPr="00882D0F">
        <w:rPr>
          <w:color w:val="000000" w:themeColor="text1"/>
        </w:rPr>
        <w:t xml:space="preserve"> acted upon</w:t>
      </w:r>
      <w:r>
        <w:rPr>
          <w:color w:val="000000" w:themeColor="text1"/>
        </w:rPr>
        <w:t>,</w:t>
      </w:r>
      <w:r w:rsidRPr="00882D0F">
        <w:rPr>
          <w:color w:val="000000" w:themeColor="text1"/>
        </w:rPr>
        <w:t xml:space="preserve"> and </w:t>
      </w:r>
      <w:r>
        <w:rPr>
          <w:color w:val="000000" w:themeColor="text1"/>
        </w:rPr>
        <w:t xml:space="preserve">such </w:t>
      </w:r>
      <w:r w:rsidRPr="00882D0F">
        <w:rPr>
          <w:color w:val="000000" w:themeColor="text1"/>
        </w:rPr>
        <w:t>actions maintained. In larger education settings it may be more practical to delegate the day-to-day management of a learner’s healthcare needs to another member of staff</w:t>
      </w:r>
      <w:r>
        <w:rPr>
          <w:color w:val="000000" w:themeColor="text1"/>
        </w:rPr>
        <w:t>.</w:t>
      </w:r>
      <w:r w:rsidRPr="00882D0F">
        <w:rPr>
          <w:color w:val="000000" w:themeColor="text1"/>
        </w:rPr>
        <w:t xml:space="preserve"> </w:t>
      </w:r>
      <w:r>
        <w:rPr>
          <w:color w:val="000000" w:themeColor="text1"/>
        </w:rPr>
        <w:t xml:space="preserve">The </w:t>
      </w:r>
      <w:r w:rsidR="00492656">
        <w:rPr>
          <w:color w:val="000000" w:themeColor="text1"/>
        </w:rPr>
        <w:t>Head</w:t>
      </w:r>
      <w:r w:rsidR="00492656" w:rsidRPr="00882D0F">
        <w:rPr>
          <w:color w:val="000000" w:themeColor="text1"/>
        </w:rPr>
        <w:t>teacher</w:t>
      </w:r>
      <w:r>
        <w:rPr>
          <w:color w:val="000000" w:themeColor="text1"/>
        </w:rPr>
        <w:t xml:space="preserve"> should directly supervise this arrangement as</w:t>
      </w:r>
      <w:r w:rsidRPr="00882D0F">
        <w:rPr>
          <w:color w:val="000000" w:themeColor="text1"/>
        </w:rPr>
        <w:t xml:space="preserve"> part of the regular reporting and supervision arrangements</w:t>
      </w:r>
    </w:p>
    <w:p w:rsidR="001A3337" w:rsidRPr="00882D0F" w:rsidRDefault="001A3337" w:rsidP="001A3337">
      <w:pPr>
        <w:pStyle w:val="ListParagraph"/>
        <w:numPr>
          <w:ilvl w:val="0"/>
          <w:numId w:val="10"/>
        </w:numPr>
        <w:ind w:left="567" w:hanging="567"/>
        <w:contextualSpacing w:val="0"/>
        <w:rPr>
          <w:color w:val="000000" w:themeColor="text1"/>
        </w:rPr>
      </w:pPr>
      <w:r w:rsidRPr="00882D0F">
        <w:rPr>
          <w:color w:val="000000" w:themeColor="text1"/>
        </w:rPr>
        <w:t>ensur</w:t>
      </w:r>
      <w:r>
        <w:rPr>
          <w:color w:val="000000" w:themeColor="text1"/>
        </w:rPr>
        <w:t>ing</w:t>
      </w:r>
      <w:r w:rsidRPr="00882D0F">
        <w:rPr>
          <w:color w:val="000000" w:themeColor="text1"/>
        </w:rPr>
        <w:t xml:space="preserve"> the </w:t>
      </w:r>
      <w:r>
        <w:rPr>
          <w:color w:val="000000" w:themeColor="text1"/>
        </w:rPr>
        <w:t>support put in place focuses on and meets the individual learner’s needs, also known as</w:t>
      </w:r>
      <w:r w:rsidRPr="00882D0F">
        <w:rPr>
          <w:color w:val="000000" w:themeColor="text1"/>
        </w:rPr>
        <w:t xml:space="preserve"> </w:t>
      </w:r>
      <w:r>
        <w:rPr>
          <w:color w:val="000000" w:themeColor="text1"/>
        </w:rPr>
        <w:t>p</w:t>
      </w:r>
      <w:r w:rsidRPr="00882D0F">
        <w:rPr>
          <w:color w:val="000000" w:themeColor="text1"/>
        </w:rPr>
        <w:t>erson</w:t>
      </w:r>
      <w:r>
        <w:rPr>
          <w:color w:val="000000" w:themeColor="text1"/>
        </w:rPr>
        <w:t>-c</w:t>
      </w:r>
      <w:r w:rsidRPr="00882D0F">
        <w:rPr>
          <w:color w:val="000000" w:themeColor="text1"/>
        </w:rPr>
        <w:t xml:space="preserve">entred </w:t>
      </w:r>
      <w:r>
        <w:rPr>
          <w:color w:val="000000" w:themeColor="text1"/>
        </w:rPr>
        <w:t>p</w:t>
      </w:r>
      <w:r w:rsidRPr="00882D0F">
        <w:rPr>
          <w:color w:val="000000" w:themeColor="text1"/>
        </w:rPr>
        <w:t>lanning</w:t>
      </w:r>
      <w:r w:rsidRPr="001C2A5E">
        <w:rPr>
          <w:vertAlign w:val="superscript"/>
        </w:rPr>
        <w:footnoteReference w:id="5"/>
      </w:r>
      <w:r w:rsidRPr="00882D0F">
        <w:rPr>
          <w:color w:val="000000" w:themeColor="text1"/>
        </w:rPr>
        <w:t xml:space="preserve"> </w:t>
      </w:r>
    </w:p>
    <w:p w:rsidR="001A3337" w:rsidRPr="00C23B16"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extending</w:t>
      </w:r>
      <w:proofErr w:type="gramEnd"/>
      <w:r>
        <w:rPr>
          <w:color w:val="000000" w:themeColor="text1"/>
        </w:rPr>
        <w:t xml:space="preserve"> awareness of healthcare needs across the education setting in line with the learner’s right to privacy. This may include support, catering and supply staff, </w:t>
      </w:r>
      <w:r w:rsidRPr="00C23B16">
        <w:rPr>
          <w:color w:val="000000" w:themeColor="text1"/>
        </w:rPr>
        <w:t>governors, parents and other learners</w:t>
      </w:r>
      <w:r>
        <w:rPr>
          <w:color w:val="000000" w:themeColor="text1"/>
        </w:rPr>
        <w:t xml:space="preserve"> </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appointing a named member of staff who is responsible for learners with healthcare needs, liaising with parents, learners, the home tuition service, the local authority, the key worker and others involved in the learner’s care</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ensuring a sufficient number of trained staff are available to implement the arrangements set out in all </w:t>
      </w:r>
      <w:r>
        <w:rPr>
          <w:color w:val="000000" w:themeColor="text1"/>
        </w:rPr>
        <w:t>IHPs</w:t>
      </w:r>
      <w:r w:rsidRPr="00C23B16">
        <w:rPr>
          <w:color w:val="000000" w:themeColor="text1"/>
        </w:rPr>
        <w:t xml:space="preserve">, including contingency plans for emergency situations and staff absence </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having the overall responsibility for the development of </w:t>
      </w:r>
      <w:r>
        <w:rPr>
          <w:color w:val="000000" w:themeColor="text1"/>
        </w:rPr>
        <w:t>IHP</w:t>
      </w:r>
      <w:r w:rsidRPr="00C23B16">
        <w:rPr>
          <w:color w:val="000000" w:themeColor="text1"/>
        </w:rPr>
        <w:t>s</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ensuring that learners have </w:t>
      </w:r>
      <w:r>
        <w:rPr>
          <w:color w:val="000000" w:themeColor="text1"/>
        </w:rPr>
        <w:t xml:space="preserve">an </w:t>
      </w:r>
      <w:r w:rsidRPr="00C23B16">
        <w:rPr>
          <w:color w:val="000000" w:themeColor="text1"/>
        </w:rPr>
        <w:t>appropriate and dignified environment to carry out their healthcare needs, e.g. private toilet areas for catheterisation</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checking with the local authority whether particular activities for supporting learners with healthcare needs are appropriately covered by insurance and making staff aware of any limits to the activities </w:t>
      </w:r>
      <w:r>
        <w:rPr>
          <w:color w:val="000000" w:themeColor="text1"/>
        </w:rPr>
        <w:t>that</w:t>
      </w:r>
      <w:r w:rsidRPr="00C23B16">
        <w:rPr>
          <w:color w:val="000000" w:themeColor="text1"/>
        </w:rPr>
        <w:t xml:space="preserve"> are covered </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ensuring all learners with healthcare needs are appropriately linked with the </w:t>
      </w:r>
      <w:r>
        <w:rPr>
          <w:color w:val="000000" w:themeColor="text1"/>
        </w:rPr>
        <w:t>education setting’s health advice</w:t>
      </w:r>
      <w:r w:rsidRPr="00C23B16">
        <w:rPr>
          <w:color w:val="000000" w:themeColor="text1"/>
        </w:rPr>
        <w:t xml:space="preserve"> service</w:t>
      </w:r>
    </w:p>
    <w:p w:rsidR="001A3337" w:rsidRPr="00C23B16" w:rsidRDefault="001A3337" w:rsidP="001A3337">
      <w:pPr>
        <w:pStyle w:val="ListParagraph"/>
        <w:numPr>
          <w:ilvl w:val="0"/>
          <w:numId w:val="10"/>
        </w:numPr>
        <w:ind w:left="567" w:hanging="567"/>
        <w:contextualSpacing w:val="0"/>
        <w:rPr>
          <w:color w:val="000000" w:themeColor="text1"/>
        </w:rPr>
      </w:pPr>
      <w:r>
        <w:rPr>
          <w:color w:val="000000" w:themeColor="text1"/>
        </w:rPr>
        <w:t>ensuring</w:t>
      </w:r>
      <w:r w:rsidRPr="00C23B16">
        <w:rPr>
          <w:color w:val="000000" w:themeColor="text1"/>
        </w:rPr>
        <w:t xml:space="preserve"> when a learner participat</w:t>
      </w:r>
      <w:r>
        <w:rPr>
          <w:color w:val="000000" w:themeColor="text1"/>
        </w:rPr>
        <w:t>es</w:t>
      </w:r>
      <w:r w:rsidRPr="00C23B16">
        <w:rPr>
          <w:color w:val="000000" w:themeColor="text1"/>
        </w:rPr>
        <w:t xml:space="preserve"> </w:t>
      </w:r>
      <w:r>
        <w:rPr>
          <w:color w:val="000000" w:themeColor="text1"/>
        </w:rPr>
        <w:t>in</w:t>
      </w:r>
      <w:r w:rsidRPr="00C23B16">
        <w:rPr>
          <w:color w:val="000000" w:themeColor="text1"/>
        </w:rPr>
        <w:t xml:space="preserve"> a work experience placement</w:t>
      </w:r>
      <w:r>
        <w:rPr>
          <w:color w:val="000000" w:themeColor="text1"/>
        </w:rPr>
        <w:t xml:space="preserve"> or similar</w:t>
      </w:r>
      <w:r w:rsidRPr="00C23B16">
        <w:rPr>
          <w:color w:val="000000" w:themeColor="text1"/>
        </w:rPr>
        <w:t xml:space="preserve">, </w:t>
      </w:r>
      <w:r>
        <w:rPr>
          <w:color w:val="000000" w:themeColor="text1"/>
        </w:rPr>
        <w:t xml:space="preserve">that </w:t>
      </w:r>
      <w:r w:rsidRPr="00C23B16">
        <w:rPr>
          <w:color w:val="000000" w:themeColor="text1"/>
        </w:rPr>
        <w:t xml:space="preserve">appropriate healthcare support </w:t>
      </w:r>
      <w:r>
        <w:rPr>
          <w:color w:val="000000" w:themeColor="text1"/>
        </w:rPr>
        <w:t>ha</w:t>
      </w:r>
      <w:r w:rsidRPr="00C23B16">
        <w:rPr>
          <w:color w:val="000000" w:themeColor="text1"/>
        </w:rPr>
        <w:t xml:space="preserve">s </w:t>
      </w:r>
      <w:r>
        <w:rPr>
          <w:color w:val="000000" w:themeColor="text1"/>
        </w:rPr>
        <w:t xml:space="preserve">been agreed and </w:t>
      </w:r>
      <w:r w:rsidRPr="00C23B16">
        <w:rPr>
          <w:color w:val="000000" w:themeColor="text1"/>
        </w:rPr>
        <w:t>put in place</w:t>
      </w:r>
      <w:r>
        <w:rPr>
          <w:color w:val="000000" w:themeColor="text1"/>
        </w:rPr>
        <w:t xml:space="preserve"> </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providing annual reports to the governing body on the effectiveness of the arrangements in place to meet the healthcare needs of learners</w:t>
      </w:r>
    </w:p>
    <w:p w:rsidR="001A3337" w:rsidRPr="00C23B16" w:rsidRDefault="001A3337" w:rsidP="001A3337">
      <w:pPr>
        <w:pStyle w:val="ListParagraph"/>
        <w:numPr>
          <w:ilvl w:val="0"/>
          <w:numId w:val="10"/>
        </w:numPr>
        <w:ind w:left="567" w:hanging="567"/>
        <w:contextualSpacing w:val="0"/>
        <w:rPr>
          <w:color w:val="000000" w:themeColor="text1"/>
        </w:rPr>
      </w:pPr>
      <w:r w:rsidRPr="00C23B16">
        <w:rPr>
          <w:color w:val="000000" w:themeColor="text1"/>
        </w:rPr>
        <w:t xml:space="preserve">ensuring all learners with healthcare needs are not excluded from activities they </w:t>
      </w:r>
      <w:proofErr w:type="spellStart"/>
      <w:r w:rsidRPr="00C23B16">
        <w:rPr>
          <w:color w:val="000000" w:themeColor="text1"/>
        </w:rPr>
        <w:t>world</w:t>
      </w:r>
      <w:proofErr w:type="spellEnd"/>
      <w:r w:rsidRPr="00C23B16">
        <w:rPr>
          <w:color w:val="000000" w:themeColor="text1"/>
        </w:rPr>
        <w:t xml:space="preserve"> normally be entitled to take part in without a clear evidence</w:t>
      </w:r>
      <w:r>
        <w:rPr>
          <w:color w:val="000000" w:themeColor="text1"/>
        </w:rPr>
        <w:t>-</w:t>
      </w:r>
      <w:r w:rsidRPr="00C23B16">
        <w:rPr>
          <w:color w:val="000000" w:themeColor="text1"/>
        </w:rPr>
        <w:t>based reason</w:t>
      </w:r>
    </w:p>
    <w:p w:rsidR="001A3337" w:rsidRPr="00C23B16" w:rsidRDefault="001A3337" w:rsidP="001A3337">
      <w:pPr>
        <w:pStyle w:val="ListParagraph"/>
        <w:numPr>
          <w:ilvl w:val="0"/>
          <w:numId w:val="10"/>
        </w:numPr>
        <w:ind w:left="567" w:hanging="567"/>
        <w:contextualSpacing w:val="0"/>
        <w:rPr>
          <w:color w:val="000000" w:themeColor="text1"/>
        </w:rPr>
      </w:pPr>
      <w:proofErr w:type="gramStart"/>
      <w:r w:rsidRPr="00C23B16">
        <w:rPr>
          <w:color w:val="000000" w:themeColor="text1"/>
        </w:rPr>
        <w:t>notifying</w:t>
      </w:r>
      <w:proofErr w:type="gramEnd"/>
      <w:r w:rsidRPr="00C23B16">
        <w:rPr>
          <w:color w:val="000000" w:themeColor="text1"/>
        </w:rPr>
        <w:t xml:space="preserve"> the local authority when a learner is likely to be away from </w:t>
      </w:r>
      <w:r>
        <w:rPr>
          <w:color w:val="000000" w:themeColor="text1"/>
        </w:rPr>
        <w:t xml:space="preserve">the education setting </w:t>
      </w:r>
      <w:r w:rsidRPr="00C23B16">
        <w:rPr>
          <w:color w:val="000000" w:themeColor="text1"/>
        </w:rPr>
        <w:t>for a significant period</w:t>
      </w:r>
      <w:r>
        <w:rPr>
          <w:color w:val="000000" w:themeColor="text1"/>
        </w:rPr>
        <w:t>,</w:t>
      </w:r>
      <w:r w:rsidRPr="00C23B16">
        <w:rPr>
          <w:color w:val="000000" w:themeColor="text1"/>
        </w:rPr>
        <w:t xml:space="preserve"> </w:t>
      </w:r>
      <w:r>
        <w:rPr>
          <w:color w:val="000000" w:themeColor="text1"/>
        </w:rPr>
        <w:t>e.g.</w:t>
      </w:r>
      <w:r w:rsidRPr="00C23B16">
        <w:rPr>
          <w:color w:val="000000" w:themeColor="text1"/>
        </w:rPr>
        <w:t xml:space="preserve"> three weeks (whether in one go or over the course of the academic year) due to their healthcare needs. Ultimately, what qualifies </w:t>
      </w:r>
      <w:r>
        <w:rPr>
          <w:color w:val="000000" w:themeColor="text1"/>
        </w:rPr>
        <w:t>a</w:t>
      </w:r>
      <w:r w:rsidRPr="00C23B16">
        <w:rPr>
          <w:color w:val="000000" w:themeColor="text1"/>
        </w:rPr>
        <w:t xml:space="preserve"> period of absence as ‘significant’ in this context depends upon the circumstances and whether the setting can provide suitable education </w:t>
      </w:r>
      <w:r>
        <w:rPr>
          <w:color w:val="000000" w:themeColor="text1"/>
        </w:rPr>
        <w:t>for</w:t>
      </w:r>
      <w:r w:rsidRPr="00C23B16">
        <w:rPr>
          <w:color w:val="000000" w:themeColor="text1"/>
        </w:rPr>
        <w:t xml:space="preserve"> the learner. Shorter periods of absence may be significant depending upon the circumstances</w:t>
      </w:r>
    </w:p>
    <w:p w:rsidR="001A3337"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being</w:t>
      </w:r>
      <w:proofErr w:type="gramEnd"/>
      <w:r w:rsidRPr="00B379E4">
        <w:rPr>
          <w:color w:val="000000" w:themeColor="text1"/>
        </w:rPr>
        <w:t xml:space="preserve"> mindful of the Social Services and Well-being (Wales) Act 2014</w:t>
      </w:r>
      <w:r>
        <w:rPr>
          <w:color w:val="000000" w:themeColor="text1"/>
        </w:rPr>
        <w:t>.</w:t>
      </w:r>
      <w:r w:rsidRPr="00B379E4">
        <w:rPr>
          <w:color w:val="000000" w:themeColor="text1"/>
        </w:rPr>
        <w:t xml:space="preserve"> </w:t>
      </w:r>
      <w:r>
        <w:rPr>
          <w:color w:val="000000" w:themeColor="text1"/>
        </w:rPr>
        <w:t>Education settings</w:t>
      </w:r>
      <w:r w:rsidRPr="00B379E4">
        <w:rPr>
          <w:color w:val="000000" w:themeColor="text1"/>
        </w:rPr>
        <w:t xml:space="preserve"> should be fully aware of this approach and ensure assistance to learners is provided using a holistic approach.</w:t>
      </w:r>
    </w:p>
    <w:p w:rsidR="001A3337" w:rsidRPr="00E11B07" w:rsidRDefault="001A3337" w:rsidP="001A3337">
      <w:pPr>
        <w:pStyle w:val="ListParagraph"/>
        <w:ind w:left="0"/>
        <w:rPr>
          <w:color w:val="000000" w:themeColor="text1"/>
        </w:rPr>
      </w:pPr>
    </w:p>
    <w:p w:rsidR="001A3337" w:rsidRDefault="001A3337" w:rsidP="001A3337">
      <w:pPr>
        <w:pStyle w:val="Heading3"/>
        <w:keepNext w:val="0"/>
        <w:keepLines w:val="0"/>
        <w:numPr>
          <w:ilvl w:val="0"/>
          <w:numId w:val="11"/>
        </w:numPr>
        <w:tabs>
          <w:tab w:val="left" w:pos="567"/>
        </w:tabs>
        <w:spacing w:before="0"/>
        <w:ind w:left="0" w:firstLine="0"/>
        <w:rPr>
          <w:rFonts w:ascii="Arial" w:hAnsi="Arial" w:cs="Arial"/>
          <w:color w:val="000000" w:themeColor="text1"/>
        </w:rPr>
      </w:pPr>
      <w:bookmarkStart w:id="31" w:name="_Toc457845453"/>
      <w:bookmarkStart w:id="32" w:name="_Toc457845700"/>
      <w:bookmarkStart w:id="33" w:name="_Toc424564454"/>
      <w:bookmarkStart w:id="34" w:name="_Toc424574126"/>
      <w:bookmarkStart w:id="35" w:name="_Toc424603186"/>
      <w:bookmarkStart w:id="36" w:name="_Toc424603425"/>
      <w:bookmarkStart w:id="37" w:name="_Toc433276903"/>
      <w:bookmarkStart w:id="38" w:name="_Toc433889946"/>
      <w:bookmarkStart w:id="39" w:name="_Toc426729829"/>
      <w:bookmarkStart w:id="40" w:name="_Toc426730139"/>
      <w:bookmarkStart w:id="41" w:name="_Toc426731204"/>
      <w:bookmarkStart w:id="42" w:name="_Toc427800806"/>
      <w:bookmarkStart w:id="43" w:name="_Toc427843081"/>
      <w:bookmarkStart w:id="44" w:name="_Toc440373473"/>
      <w:r w:rsidRPr="00882D0F">
        <w:rPr>
          <w:rFonts w:ascii="Arial" w:hAnsi="Arial" w:cs="Arial"/>
          <w:color w:val="000000" w:themeColor="text1"/>
        </w:rPr>
        <w:t xml:space="preserve">Teachers </w:t>
      </w:r>
      <w:r>
        <w:rPr>
          <w:rFonts w:ascii="Arial" w:hAnsi="Arial" w:cs="Arial"/>
          <w:color w:val="000000" w:themeColor="text1"/>
        </w:rPr>
        <w:t>and</w:t>
      </w:r>
      <w:r w:rsidRPr="00882D0F">
        <w:rPr>
          <w:rFonts w:ascii="Arial" w:hAnsi="Arial" w:cs="Arial"/>
          <w:color w:val="000000" w:themeColor="text1"/>
        </w:rPr>
        <w:t xml:space="preserve"> </w:t>
      </w:r>
      <w:r>
        <w:rPr>
          <w:rFonts w:ascii="Arial" w:hAnsi="Arial" w:cs="Arial"/>
          <w:color w:val="000000" w:themeColor="text1"/>
        </w:rPr>
        <w:t>s</w:t>
      </w:r>
      <w:r w:rsidRPr="00882D0F">
        <w:rPr>
          <w:rFonts w:ascii="Arial" w:hAnsi="Arial" w:cs="Arial"/>
          <w:color w:val="000000" w:themeColor="text1"/>
        </w:rPr>
        <w:t xml:space="preserve">upport </w:t>
      </w:r>
      <w:r>
        <w:rPr>
          <w:rFonts w:ascii="Arial" w:hAnsi="Arial" w:cs="Arial"/>
          <w:color w:val="000000" w:themeColor="text1"/>
        </w:rPr>
        <w:t>s</w:t>
      </w:r>
      <w:r w:rsidRPr="00882D0F">
        <w:rPr>
          <w:rFonts w:ascii="Arial" w:hAnsi="Arial" w:cs="Arial"/>
          <w:color w:val="000000" w:themeColor="text1"/>
        </w:rPr>
        <w:t>taff</w:t>
      </w:r>
      <w:bookmarkEnd w:id="31"/>
      <w:bookmarkEnd w:id="32"/>
      <w:r w:rsidRPr="00882D0F">
        <w:rPr>
          <w:rFonts w:ascii="Arial" w:hAnsi="Arial" w:cs="Arial"/>
          <w:color w:val="000000" w:themeColor="text1"/>
        </w:rPr>
        <w:t xml:space="preserve">  </w:t>
      </w:r>
    </w:p>
    <w:p w:rsidR="001A3337" w:rsidRDefault="001A3337" w:rsidP="001A3337">
      <w:pPr>
        <w:rPr>
          <w:color w:val="000000" w:themeColor="text1"/>
        </w:rPr>
      </w:pPr>
      <w:r w:rsidRPr="00882D0F">
        <w:rPr>
          <w:color w:val="000000" w:themeColor="text1"/>
        </w:rPr>
        <w:t xml:space="preserve">Any staff member within the education setting may be asked to provide support to learners with healthcare needs, including assisting or supervising the administration of medicines. </w:t>
      </w:r>
      <w:r>
        <w:rPr>
          <w:color w:val="000000" w:themeColor="text1"/>
        </w:rPr>
        <w:t>This role is entirely voluntary. S</w:t>
      </w:r>
      <w:r w:rsidRPr="00882D0F">
        <w:rPr>
          <w:color w:val="000000" w:themeColor="text1"/>
        </w:rPr>
        <w:t>taff members must receive sufficient and suitable training and achieve the necessary level of competence before they take on the responsibility.</w:t>
      </w:r>
      <w:r>
        <w:rPr>
          <w:color w:val="000000" w:themeColor="text1"/>
        </w:rPr>
        <w:t xml:space="preserve"> N</w:t>
      </w:r>
      <w:r w:rsidRPr="00882D0F">
        <w:rPr>
          <w:color w:val="000000" w:themeColor="text1"/>
        </w:rPr>
        <w:t xml:space="preserve">o staff member can be required to administer or supervise medication unless it </w:t>
      </w:r>
      <w:r>
        <w:rPr>
          <w:color w:val="000000" w:themeColor="text1"/>
        </w:rPr>
        <w:t xml:space="preserve">forms </w:t>
      </w:r>
      <w:r w:rsidRPr="00882D0F">
        <w:rPr>
          <w:color w:val="000000" w:themeColor="text1"/>
        </w:rPr>
        <w:t>part of their contract, terms and conditions or a mutually agreed job plan.</w:t>
      </w:r>
      <w:r>
        <w:rPr>
          <w:color w:val="000000" w:themeColor="text1"/>
        </w:rPr>
        <w:t xml:space="preserve"> </w:t>
      </w:r>
    </w:p>
    <w:p w:rsidR="001A3337" w:rsidRDefault="001A3337" w:rsidP="001A3337">
      <w:pPr>
        <w:rPr>
          <w:color w:val="000000" w:themeColor="text1"/>
        </w:rPr>
      </w:pPr>
    </w:p>
    <w:bookmarkEnd w:id="33"/>
    <w:bookmarkEnd w:id="34"/>
    <w:bookmarkEnd w:id="35"/>
    <w:bookmarkEnd w:id="36"/>
    <w:bookmarkEnd w:id="37"/>
    <w:bookmarkEnd w:id="38"/>
    <w:bookmarkEnd w:id="39"/>
    <w:bookmarkEnd w:id="40"/>
    <w:bookmarkEnd w:id="41"/>
    <w:bookmarkEnd w:id="42"/>
    <w:bookmarkEnd w:id="43"/>
    <w:bookmarkEnd w:id="44"/>
    <w:p w:rsidR="001A3337" w:rsidRDefault="001A3337" w:rsidP="001A3337">
      <w:pPr>
        <w:rPr>
          <w:color w:val="000000" w:themeColor="text1"/>
        </w:rPr>
      </w:pPr>
      <w:r w:rsidRPr="00882D0F">
        <w:rPr>
          <w:color w:val="000000" w:themeColor="text1"/>
        </w:rPr>
        <w:t xml:space="preserve">In addition to the training provided to staff </w:t>
      </w:r>
      <w:r>
        <w:rPr>
          <w:color w:val="000000" w:themeColor="text1"/>
        </w:rPr>
        <w:t>that</w:t>
      </w:r>
      <w:r w:rsidRPr="00882D0F">
        <w:rPr>
          <w:color w:val="000000" w:themeColor="text1"/>
        </w:rPr>
        <w:t xml:space="preserve"> have volunteered or are contracted to support learners with healthcare needs, the education setting should ensure staff:</w:t>
      </w:r>
    </w:p>
    <w:p w:rsidR="001A3337" w:rsidRPr="00882D0F" w:rsidRDefault="001A3337" w:rsidP="001A3337">
      <w:pPr>
        <w:rPr>
          <w:color w:val="000000" w:themeColor="text1"/>
        </w:rPr>
      </w:pPr>
      <w:r w:rsidRPr="00882D0F">
        <w:rPr>
          <w:color w:val="000000" w:themeColor="text1"/>
        </w:rPr>
        <w:t xml:space="preserve">  </w:t>
      </w:r>
    </w:p>
    <w:p w:rsidR="001A3337" w:rsidRDefault="001A3337" w:rsidP="001A3337">
      <w:pPr>
        <w:pStyle w:val="ListParagraph"/>
        <w:numPr>
          <w:ilvl w:val="0"/>
          <w:numId w:val="10"/>
        </w:numPr>
        <w:ind w:left="567" w:hanging="567"/>
        <w:contextualSpacing w:val="0"/>
        <w:rPr>
          <w:color w:val="000000" w:themeColor="text1"/>
        </w:rPr>
      </w:pPr>
      <w:r>
        <w:rPr>
          <w:color w:val="000000" w:themeColor="text1"/>
        </w:rPr>
        <w:t>f</w:t>
      </w:r>
      <w:r w:rsidRPr="00882D0F">
        <w:rPr>
          <w:color w:val="000000" w:themeColor="text1"/>
        </w:rPr>
        <w:t>ully understand the education setting’s healthcare needs policies and arrangements</w:t>
      </w:r>
      <w:r>
        <w:rPr>
          <w:color w:val="000000" w:themeColor="text1"/>
        </w:rPr>
        <w:t xml:space="preserve"> </w:t>
      </w:r>
    </w:p>
    <w:p w:rsidR="001A3337" w:rsidRPr="00882D0F"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a</w:t>
      </w:r>
      <w:r w:rsidRPr="00882D0F">
        <w:rPr>
          <w:color w:val="000000" w:themeColor="text1"/>
        </w:rPr>
        <w:t>re</w:t>
      </w:r>
      <w:proofErr w:type="gramEnd"/>
      <w:r w:rsidRPr="00882D0F">
        <w:rPr>
          <w:color w:val="000000" w:themeColor="text1"/>
        </w:rPr>
        <w:t xml:space="preserve"> aware of which learners have more serious or chronic healthcare needs, and, where appropriate, are familiar with these learners’ </w:t>
      </w:r>
      <w:r>
        <w:rPr>
          <w:color w:val="000000" w:themeColor="text1"/>
        </w:rPr>
        <w:t>IHP</w:t>
      </w:r>
      <w:r w:rsidRPr="00882D0F">
        <w:rPr>
          <w:color w:val="000000" w:themeColor="text1"/>
        </w:rPr>
        <w:t>s. This includes knowing how to communicate with parents and what the triggers for contacting them are, such as when the learner is unwell, refuses to take medication or refuses certain activities because of their healthcare needs</w:t>
      </w:r>
      <w:r>
        <w:rPr>
          <w:color w:val="000000" w:themeColor="text1"/>
        </w:rPr>
        <w:t xml:space="preserve">  </w:t>
      </w:r>
    </w:p>
    <w:p w:rsidR="001A3337" w:rsidRPr="007D3402" w:rsidRDefault="001A3337" w:rsidP="001A3337">
      <w:pPr>
        <w:pStyle w:val="ListParagraph"/>
        <w:numPr>
          <w:ilvl w:val="0"/>
          <w:numId w:val="10"/>
        </w:numPr>
        <w:ind w:left="567" w:hanging="567"/>
        <w:contextualSpacing w:val="0"/>
        <w:rPr>
          <w:color w:val="000000" w:themeColor="text1"/>
        </w:rPr>
      </w:pPr>
      <w:proofErr w:type="gramStart"/>
      <w:r w:rsidRPr="007D3402">
        <w:rPr>
          <w:color w:val="000000" w:themeColor="text1"/>
        </w:rPr>
        <w:t>are</w:t>
      </w:r>
      <w:proofErr w:type="gramEnd"/>
      <w:r w:rsidRPr="007D3402">
        <w:rPr>
          <w:color w:val="000000" w:themeColor="text1"/>
        </w:rPr>
        <w:t xml:space="preserve"> aware of the signs, symptoms and triggers of common life</w:t>
      </w:r>
      <w:r>
        <w:rPr>
          <w:color w:val="000000" w:themeColor="text1"/>
        </w:rPr>
        <w:t>-</w:t>
      </w:r>
      <w:r w:rsidRPr="007D3402">
        <w:rPr>
          <w:color w:val="000000" w:themeColor="text1"/>
        </w:rPr>
        <w:t>threatening medical conditions and know what to do in an emergency</w:t>
      </w:r>
      <w:r>
        <w:rPr>
          <w:color w:val="000000" w:themeColor="text1"/>
        </w:rPr>
        <w:t xml:space="preserve">. This </w:t>
      </w:r>
      <w:r w:rsidRPr="007D3402">
        <w:rPr>
          <w:color w:val="000000" w:themeColor="text1"/>
        </w:rPr>
        <w:t>includ</w:t>
      </w:r>
      <w:r>
        <w:rPr>
          <w:color w:val="000000" w:themeColor="text1"/>
        </w:rPr>
        <w:t>es</w:t>
      </w:r>
      <w:r w:rsidRPr="007D3402">
        <w:rPr>
          <w:color w:val="000000" w:themeColor="text1"/>
        </w:rPr>
        <w:t xml:space="preserve"> </w:t>
      </w:r>
      <w:r>
        <w:rPr>
          <w:color w:val="000000" w:themeColor="text1"/>
        </w:rPr>
        <w:t>knowing who the</w:t>
      </w:r>
      <w:r w:rsidRPr="007D3402">
        <w:rPr>
          <w:color w:val="000000" w:themeColor="text1"/>
        </w:rPr>
        <w:t xml:space="preserve"> first aiders </w:t>
      </w:r>
      <w:r>
        <w:rPr>
          <w:color w:val="000000" w:themeColor="text1"/>
        </w:rPr>
        <w:t xml:space="preserve">are </w:t>
      </w:r>
      <w:r w:rsidRPr="007D3402">
        <w:rPr>
          <w:color w:val="000000" w:themeColor="text1"/>
        </w:rPr>
        <w:t xml:space="preserve">and </w:t>
      </w:r>
      <w:r>
        <w:rPr>
          <w:color w:val="000000" w:themeColor="text1"/>
        </w:rPr>
        <w:t>s</w:t>
      </w:r>
      <w:r w:rsidRPr="007D3402">
        <w:rPr>
          <w:color w:val="000000" w:themeColor="text1"/>
        </w:rPr>
        <w:t>eek</w:t>
      </w:r>
      <w:r>
        <w:rPr>
          <w:color w:val="000000" w:themeColor="text1"/>
        </w:rPr>
        <w:t>ing</w:t>
      </w:r>
      <w:r w:rsidRPr="007D3402">
        <w:rPr>
          <w:color w:val="000000" w:themeColor="text1"/>
        </w:rPr>
        <w:t xml:space="preserve"> their assistance if a medical emergency takes place</w:t>
      </w:r>
    </w:p>
    <w:p w:rsidR="001A3337" w:rsidRPr="00882D0F" w:rsidRDefault="001A3337" w:rsidP="001A3337">
      <w:pPr>
        <w:pStyle w:val="ListParagraph"/>
        <w:numPr>
          <w:ilvl w:val="0"/>
          <w:numId w:val="10"/>
        </w:numPr>
        <w:ind w:left="567" w:hanging="567"/>
        <w:contextualSpacing w:val="0"/>
        <w:rPr>
          <w:color w:val="000000" w:themeColor="text1"/>
        </w:rPr>
      </w:pPr>
      <w:r>
        <w:rPr>
          <w:color w:val="000000" w:themeColor="text1"/>
        </w:rPr>
        <w:t>f</w:t>
      </w:r>
      <w:r w:rsidRPr="00882D0F">
        <w:rPr>
          <w:color w:val="000000" w:themeColor="text1"/>
        </w:rPr>
        <w:t>ully understand the education setting’s emergency procedures and be prepared to act in an emergency</w:t>
      </w:r>
    </w:p>
    <w:p w:rsidR="001A3337" w:rsidRDefault="001A3337" w:rsidP="001A3337">
      <w:pPr>
        <w:pStyle w:val="ListParagraph"/>
        <w:numPr>
          <w:ilvl w:val="0"/>
          <w:numId w:val="10"/>
        </w:numPr>
        <w:ind w:left="567" w:hanging="567"/>
        <w:contextualSpacing w:val="0"/>
        <w:rPr>
          <w:color w:val="000000" w:themeColor="text1"/>
        </w:rPr>
      </w:pPr>
      <w:r w:rsidRPr="005D7F20">
        <w:rPr>
          <w:color w:val="000000" w:themeColor="text1"/>
        </w:rPr>
        <w:t xml:space="preserve">ask and listen to the views of learners and their parents, which should be taken into consideration when putting support in place </w:t>
      </w:r>
    </w:p>
    <w:p w:rsidR="001A3337" w:rsidRPr="005D7F20" w:rsidRDefault="001A3337" w:rsidP="001A3337">
      <w:pPr>
        <w:pStyle w:val="ListParagraph"/>
        <w:numPr>
          <w:ilvl w:val="0"/>
          <w:numId w:val="10"/>
        </w:numPr>
        <w:ind w:left="567" w:hanging="567"/>
        <w:contextualSpacing w:val="0"/>
        <w:rPr>
          <w:color w:val="000000" w:themeColor="text1"/>
        </w:rPr>
      </w:pPr>
      <w:r w:rsidRPr="005D7F20">
        <w:rPr>
          <w:color w:val="000000" w:themeColor="text1"/>
        </w:rPr>
        <w:t xml:space="preserve">ensure learners (or their friends) know who to tell if they feel ill, need support or changes to support </w:t>
      </w:r>
    </w:p>
    <w:p w:rsidR="001A3337" w:rsidRDefault="001A3337" w:rsidP="001A3337">
      <w:pPr>
        <w:pStyle w:val="ListParagraph"/>
        <w:numPr>
          <w:ilvl w:val="0"/>
          <w:numId w:val="10"/>
        </w:numPr>
        <w:ind w:left="567" w:hanging="567"/>
        <w:contextualSpacing w:val="0"/>
        <w:rPr>
          <w:color w:val="000000" w:themeColor="text1"/>
        </w:rPr>
      </w:pPr>
      <w:r w:rsidRPr="005D7F20">
        <w:rPr>
          <w:color w:val="000000" w:themeColor="text1"/>
        </w:rPr>
        <w:t xml:space="preserve">listen to concerns of learners if they feel ill at any point and consider the need for medical assistance </w:t>
      </w:r>
      <w:r>
        <w:rPr>
          <w:color w:val="000000" w:themeColor="text1"/>
        </w:rPr>
        <w:t xml:space="preserve">(especially in the case of reported breathing difficulties) </w:t>
      </w:r>
    </w:p>
    <w:p w:rsidR="001A3337" w:rsidRPr="00882D0F"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m</w:t>
      </w:r>
      <w:r w:rsidRPr="00882D0F">
        <w:rPr>
          <w:color w:val="000000" w:themeColor="text1"/>
        </w:rPr>
        <w:t>ake</w:t>
      </w:r>
      <w:proofErr w:type="gramEnd"/>
      <w:r w:rsidRPr="00882D0F">
        <w:rPr>
          <w:color w:val="000000" w:themeColor="text1"/>
        </w:rPr>
        <w:t xml:space="preserve"> sure learners with healthcare needs are not excluded from activities they wish to take part in without a clear evidence</w:t>
      </w:r>
      <w:r>
        <w:rPr>
          <w:color w:val="000000" w:themeColor="text1"/>
        </w:rPr>
        <w:t>-</w:t>
      </w:r>
      <w:r w:rsidRPr="00882D0F">
        <w:rPr>
          <w:color w:val="000000" w:themeColor="text1"/>
        </w:rPr>
        <w:t>based reason, including any external trips/visits</w:t>
      </w:r>
      <w:r>
        <w:rPr>
          <w:color w:val="000000" w:themeColor="text1"/>
        </w:rPr>
        <w:t>.</w:t>
      </w:r>
      <w:r w:rsidRPr="00882D0F">
        <w:rPr>
          <w:color w:val="000000" w:themeColor="text1"/>
        </w:rPr>
        <w:t xml:space="preserve"> </w:t>
      </w:r>
      <w:r>
        <w:rPr>
          <w:color w:val="000000" w:themeColor="text1"/>
        </w:rPr>
        <w:t xml:space="preserve">This includes ensuring learners have access to their medication and that an appropriately trained member of staff is present to assist where required </w:t>
      </w:r>
      <w:r w:rsidRPr="00882D0F">
        <w:rPr>
          <w:color w:val="000000" w:themeColor="text1"/>
        </w:rPr>
        <w:t xml:space="preserve"> </w:t>
      </w:r>
    </w:p>
    <w:p w:rsidR="001A3337" w:rsidRDefault="001A3337" w:rsidP="001A3337">
      <w:pPr>
        <w:pStyle w:val="ListParagraph"/>
        <w:numPr>
          <w:ilvl w:val="0"/>
          <w:numId w:val="10"/>
        </w:numPr>
        <w:ind w:left="567" w:hanging="567"/>
        <w:contextualSpacing w:val="0"/>
        <w:rPr>
          <w:color w:val="000000" w:themeColor="text1"/>
        </w:rPr>
      </w:pPr>
      <w:r>
        <w:rPr>
          <w:color w:val="000000" w:themeColor="text1"/>
        </w:rPr>
        <w:t>a</w:t>
      </w:r>
      <w:r w:rsidRPr="00882D0F">
        <w:rPr>
          <w:color w:val="000000" w:themeColor="text1"/>
        </w:rPr>
        <w:t>re aware of bullying issues</w:t>
      </w:r>
      <w:r>
        <w:rPr>
          <w:color w:val="000000" w:themeColor="text1"/>
        </w:rPr>
        <w:t xml:space="preserve"> and emotional well-being</w:t>
      </w:r>
      <w:r w:rsidRPr="00882D0F">
        <w:rPr>
          <w:color w:val="000000" w:themeColor="text1"/>
        </w:rPr>
        <w:t xml:space="preserve"> regard</w:t>
      </w:r>
      <w:r>
        <w:rPr>
          <w:color w:val="000000" w:themeColor="text1"/>
        </w:rPr>
        <w:t>ing</w:t>
      </w:r>
      <w:r w:rsidRPr="00882D0F">
        <w:rPr>
          <w:color w:val="000000" w:themeColor="text1"/>
        </w:rPr>
        <w:t xml:space="preserve"> learners with healthcare needs</w:t>
      </w:r>
      <w:r>
        <w:rPr>
          <w:color w:val="000000" w:themeColor="text1"/>
        </w:rPr>
        <w:t>,</w:t>
      </w:r>
      <w:r w:rsidRPr="00882D0F">
        <w:rPr>
          <w:color w:val="000000" w:themeColor="text1"/>
        </w:rPr>
        <w:t xml:space="preserve"> and are prepared to intervene in line with the </w:t>
      </w:r>
      <w:r>
        <w:rPr>
          <w:color w:val="000000" w:themeColor="text1"/>
        </w:rPr>
        <w:t xml:space="preserve">education </w:t>
      </w:r>
      <w:r w:rsidRPr="00882D0F">
        <w:rPr>
          <w:color w:val="000000" w:themeColor="text1"/>
        </w:rPr>
        <w:t>setting’s policy</w:t>
      </w:r>
    </w:p>
    <w:p w:rsidR="001A3337" w:rsidRPr="00882D0F" w:rsidRDefault="001A3337" w:rsidP="001A3337">
      <w:pPr>
        <w:pStyle w:val="ListParagraph"/>
        <w:numPr>
          <w:ilvl w:val="0"/>
          <w:numId w:val="10"/>
        </w:numPr>
        <w:ind w:left="567" w:hanging="567"/>
        <w:contextualSpacing w:val="0"/>
        <w:rPr>
          <w:color w:val="000000" w:themeColor="text1"/>
        </w:rPr>
      </w:pPr>
      <w:r>
        <w:rPr>
          <w:color w:val="000000" w:themeColor="text1"/>
        </w:rPr>
        <w:t>a</w:t>
      </w:r>
      <w:r w:rsidRPr="00882D0F">
        <w:rPr>
          <w:color w:val="000000" w:themeColor="text1"/>
        </w:rPr>
        <w:t>re aware that healthcare needs can impact on a learner’s ability to learn and provide extra help when needed</w:t>
      </w:r>
    </w:p>
    <w:p w:rsidR="001A3337" w:rsidRPr="00521606" w:rsidRDefault="001A3337" w:rsidP="001A3337">
      <w:pPr>
        <w:pStyle w:val="ListParagraph"/>
        <w:numPr>
          <w:ilvl w:val="0"/>
          <w:numId w:val="10"/>
        </w:numPr>
        <w:ind w:left="567" w:hanging="567"/>
        <w:contextualSpacing w:val="0"/>
        <w:rPr>
          <w:color w:val="000000" w:themeColor="text1"/>
        </w:rPr>
      </w:pPr>
      <w:r w:rsidRPr="00521606">
        <w:rPr>
          <w:color w:val="000000" w:themeColor="text1"/>
        </w:rPr>
        <w:t>support learners who have been absent and assist them with catching up on missed work</w:t>
      </w:r>
      <w:r>
        <w:rPr>
          <w:color w:val="000000" w:themeColor="text1"/>
        </w:rPr>
        <w:t xml:space="preserve"> ‒ </w:t>
      </w:r>
      <w:r w:rsidRPr="00521606">
        <w:rPr>
          <w:color w:val="000000" w:themeColor="text1"/>
        </w:rPr>
        <w:t>this may involve working with parents and specialist services</w:t>
      </w:r>
    </w:p>
    <w:p w:rsidR="001A3337" w:rsidRDefault="001A3337" w:rsidP="001A3337">
      <w:pPr>
        <w:pStyle w:val="ListParagraph"/>
        <w:numPr>
          <w:ilvl w:val="0"/>
          <w:numId w:val="10"/>
        </w:numPr>
        <w:ind w:left="567" w:hanging="567"/>
        <w:contextualSpacing w:val="0"/>
        <w:rPr>
          <w:color w:val="000000" w:themeColor="text1"/>
        </w:rPr>
      </w:pPr>
      <w:proofErr w:type="gramStart"/>
      <w:r w:rsidRPr="00EE6A7B">
        <w:rPr>
          <w:color w:val="000000" w:themeColor="text1"/>
        </w:rPr>
        <w:t>keep</w:t>
      </w:r>
      <w:proofErr w:type="gramEnd"/>
      <w:r w:rsidRPr="00EE6A7B">
        <w:rPr>
          <w:color w:val="000000" w:themeColor="text1"/>
        </w:rPr>
        <w:t xml:space="preserve"> parents informed of how th</w:t>
      </w:r>
      <w:r>
        <w:rPr>
          <w:color w:val="000000" w:themeColor="text1"/>
        </w:rPr>
        <w:t xml:space="preserve">e healthcare need is affecting the learner in the education setting. This may include reporting any deterioration, concerns or changes to learner or staff routines. </w:t>
      </w:r>
    </w:p>
    <w:p w:rsidR="001A3337" w:rsidRPr="00EE6A7B" w:rsidRDefault="001A3337" w:rsidP="001A3337">
      <w:pPr>
        <w:pStyle w:val="ListParagraph"/>
        <w:ind w:left="0"/>
        <w:rPr>
          <w:color w:val="000000" w:themeColor="text1"/>
        </w:rPr>
      </w:pPr>
    </w:p>
    <w:p w:rsidR="001A3337" w:rsidRPr="00E11B07" w:rsidRDefault="001A3337" w:rsidP="001A3337">
      <w:pPr>
        <w:pStyle w:val="Heading3"/>
        <w:keepNext w:val="0"/>
        <w:keepLines w:val="0"/>
        <w:numPr>
          <w:ilvl w:val="0"/>
          <w:numId w:val="11"/>
        </w:numPr>
        <w:tabs>
          <w:tab w:val="left" w:pos="567"/>
        </w:tabs>
        <w:spacing w:before="0"/>
        <w:ind w:left="0" w:firstLine="0"/>
        <w:rPr>
          <w:rFonts w:ascii="Arial" w:hAnsi="Arial" w:cs="Arial"/>
          <w:color w:val="000000" w:themeColor="text1"/>
        </w:rPr>
      </w:pPr>
      <w:bookmarkStart w:id="45" w:name="_Toc457845454"/>
      <w:bookmarkStart w:id="46" w:name="_Toc457845701"/>
      <w:bookmarkStart w:id="47" w:name="_Toc424564455"/>
      <w:bookmarkStart w:id="48" w:name="_Toc424574127"/>
      <w:bookmarkStart w:id="49" w:name="_Toc424603187"/>
      <w:bookmarkStart w:id="50" w:name="_Toc424603426"/>
      <w:bookmarkStart w:id="51" w:name="_Toc426729830"/>
      <w:bookmarkStart w:id="52" w:name="_Toc426730140"/>
      <w:bookmarkStart w:id="53" w:name="_Toc426731205"/>
      <w:bookmarkStart w:id="54" w:name="_Toc427800807"/>
      <w:bookmarkStart w:id="55" w:name="_Toc427843082"/>
      <w:bookmarkStart w:id="56" w:name="_Toc433276904"/>
      <w:bookmarkStart w:id="57" w:name="_Toc433889947"/>
      <w:bookmarkStart w:id="58" w:name="_Toc440373474"/>
      <w:r>
        <w:rPr>
          <w:rFonts w:ascii="Arial" w:hAnsi="Arial" w:cs="Arial"/>
          <w:color w:val="000000" w:themeColor="text1"/>
        </w:rPr>
        <w:t>L</w:t>
      </w:r>
      <w:r w:rsidRPr="00882D0F">
        <w:rPr>
          <w:rFonts w:ascii="Arial" w:hAnsi="Arial" w:cs="Arial"/>
          <w:color w:val="000000" w:themeColor="text1"/>
        </w:rPr>
        <w:t>earners</w:t>
      </w:r>
      <w:bookmarkEnd w:id="45"/>
      <w:bookmarkEnd w:id="46"/>
      <w:r>
        <w:rPr>
          <w:rFonts w:ascii="Arial" w:hAnsi="Arial" w:cs="Arial"/>
          <w:color w:val="000000" w:themeColor="text1"/>
        </w:rPr>
        <w:t xml:space="preserve"> and parents</w:t>
      </w:r>
      <w:r w:rsidRPr="00E11B07">
        <w:rPr>
          <w:rFonts w:ascii="Arial" w:hAnsi="Arial" w:cs="Arial"/>
          <w:color w:val="000000" w:themeColor="text1"/>
        </w:rPr>
        <w:t xml:space="preserve"> </w:t>
      </w:r>
    </w:p>
    <w:p w:rsidR="001A3337" w:rsidRPr="005A0D72" w:rsidRDefault="001A3337" w:rsidP="001A3337">
      <w:pPr>
        <w:rPr>
          <w:color w:val="000000" w:themeColor="text1"/>
        </w:rPr>
      </w:pPr>
      <w:r w:rsidRPr="005A0D72">
        <w:rPr>
          <w:color w:val="000000" w:themeColor="text1"/>
        </w:rPr>
        <w:t xml:space="preserve">It is vital that learners and parents are actively involved in the planning </w:t>
      </w:r>
      <w:r>
        <w:rPr>
          <w:color w:val="000000" w:themeColor="text1"/>
        </w:rPr>
        <w:t xml:space="preserve">of support </w:t>
      </w:r>
      <w:r w:rsidRPr="005A0D72">
        <w:rPr>
          <w:color w:val="000000" w:themeColor="text1"/>
        </w:rPr>
        <w:t>and management of healthcare needs</w:t>
      </w:r>
      <w:r>
        <w:rPr>
          <w:color w:val="000000" w:themeColor="text1"/>
        </w:rPr>
        <w:t xml:space="preserve">. Meeting the individual’s needs should be </w:t>
      </w:r>
      <w:r w:rsidRPr="005A0D72">
        <w:rPr>
          <w:color w:val="000000" w:themeColor="text1"/>
        </w:rPr>
        <w:t xml:space="preserve">at the centre of </w:t>
      </w:r>
      <w:r>
        <w:rPr>
          <w:color w:val="000000" w:themeColor="text1"/>
        </w:rPr>
        <w:t xml:space="preserve">decision making and </w:t>
      </w:r>
      <w:r w:rsidRPr="005A0D72">
        <w:rPr>
          <w:color w:val="000000" w:themeColor="text1"/>
        </w:rPr>
        <w:t xml:space="preserve">processes. </w:t>
      </w:r>
      <w:r>
        <w:rPr>
          <w:color w:val="000000" w:themeColor="text1"/>
        </w:rPr>
        <w:t>The UNCRC</w:t>
      </w:r>
      <w:r w:rsidRPr="005A0D72">
        <w:rPr>
          <w:color w:val="000000" w:themeColor="text1"/>
        </w:rPr>
        <w:t xml:space="preserve"> </w:t>
      </w:r>
      <w:r>
        <w:rPr>
          <w:color w:val="000000" w:themeColor="text1"/>
        </w:rPr>
        <w:t xml:space="preserve">states </w:t>
      </w:r>
      <w:r w:rsidRPr="005A0D72">
        <w:rPr>
          <w:color w:val="000000" w:themeColor="text1"/>
        </w:rPr>
        <w:t xml:space="preserve">learners </w:t>
      </w:r>
      <w:r>
        <w:rPr>
          <w:color w:val="000000" w:themeColor="text1"/>
        </w:rPr>
        <w:t xml:space="preserve">should </w:t>
      </w:r>
      <w:r w:rsidRPr="005A0D72">
        <w:rPr>
          <w:color w:val="000000" w:themeColor="text1"/>
        </w:rPr>
        <w:t xml:space="preserve">have access to appropriate information essential for their health and development and have opportunities to participate in decisions affecting their health. </w:t>
      </w:r>
      <w:r>
        <w:rPr>
          <w:color w:val="000000" w:themeColor="text1"/>
        </w:rPr>
        <w:t xml:space="preserve"> </w:t>
      </w:r>
    </w:p>
    <w:p w:rsidR="001A3337" w:rsidRDefault="001A3337" w:rsidP="001A3337">
      <w:pPr>
        <w:rPr>
          <w:color w:val="000000" w:themeColor="text1"/>
        </w:rPr>
      </w:pPr>
    </w:p>
    <w:p w:rsidR="001A3337" w:rsidRDefault="001A3337" w:rsidP="001A3337">
      <w:pPr>
        <w:rPr>
          <w:color w:val="000000" w:themeColor="text1"/>
        </w:rPr>
      </w:pPr>
      <w:r>
        <w:rPr>
          <w:color w:val="000000" w:themeColor="text1"/>
        </w:rPr>
        <w:t>Parents</w:t>
      </w:r>
      <w:r w:rsidRPr="005A0D72">
        <w:rPr>
          <w:color w:val="000000" w:themeColor="text1"/>
        </w:rPr>
        <w:t xml:space="preserve"> and learners should:</w:t>
      </w:r>
    </w:p>
    <w:p w:rsidR="001A3337" w:rsidRDefault="001A3337" w:rsidP="001A3337">
      <w:pPr>
        <w:rPr>
          <w:color w:val="000000" w:themeColor="text1"/>
        </w:rPr>
      </w:pPr>
    </w:p>
    <w:p w:rsidR="001A3337" w:rsidRPr="005A0D72" w:rsidRDefault="001A3337" w:rsidP="001A3337">
      <w:pPr>
        <w:pStyle w:val="ListParagraph"/>
        <w:numPr>
          <w:ilvl w:val="0"/>
          <w:numId w:val="10"/>
        </w:numPr>
        <w:ind w:left="567" w:hanging="567"/>
        <w:contextualSpacing w:val="0"/>
        <w:rPr>
          <w:color w:val="000000" w:themeColor="text1"/>
        </w:rPr>
      </w:pPr>
      <w:r>
        <w:rPr>
          <w:color w:val="000000" w:themeColor="text1"/>
        </w:rPr>
        <w:t>receive updates regarding healthcare issues/changes that occur within the education setting</w:t>
      </w:r>
    </w:p>
    <w:p w:rsidR="001A3337" w:rsidRPr="0016719F"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b</w:t>
      </w:r>
      <w:r w:rsidRPr="005A0D72">
        <w:rPr>
          <w:color w:val="000000" w:themeColor="text1"/>
        </w:rPr>
        <w:t>e</w:t>
      </w:r>
      <w:proofErr w:type="gramEnd"/>
      <w:r w:rsidRPr="005A0D72">
        <w:rPr>
          <w:color w:val="000000" w:themeColor="text1"/>
        </w:rPr>
        <w:t xml:space="preserve"> involved in the creation, development and review of </w:t>
      </w:r>
      <w:r>
        <w:rPr>
          <w:color w:val="000000" w:themeColor="text1"/>
        </w:rPr>
        <w:t>an</w:t>
      </w:r>
      <w:r w:rsidRPr="005A0D72">
        <w:rPr>
          <w:color w:val="000000" w:themeColor="text1"/>
        </w:rPr>
        <w:t xml:space="preserve"> </w:t>
      </w:r>
      <w:r>
        <w:rPr>
          <w:color w:val="000000" w:themeColor="text1"/>
        </w:rPr>
        <w:t>IHP</w:t>
      </w:r>
      <w:r w:rsidRPr="005A0D72">
        <w:rPr>
          <w:color w:val="000000" w:themeColor="text1"/>
        </w:rPr>
        <w:t xml:space="preserve"> (if any). The parent and learner may be best placed to provide information about how their healthcare needs affect them. They should be fully involved in discussions about how the learner’s healthcare needs will be met in the education setting, and contribute to the development of, and compliance with, their </w:t>
      </w:r>
      <w:r>
        <w:rPr>
          <w:color w:val="000000" w:themeColor="text1"/>
        </w:rPr>
        <w:t>IHP</w:t>
      </w:r>
    </w:p>
    <w:p w:rsidR="001A3337"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p</w:t>
      </w:r>
      <w:r w:rsidRPr="005A0D72">
        <w:rPr>
          <w:color w:val="000000" w:themeColor="text1"/>
        </w:rPr>
        <w:t>rovide</w:t>
      </w:r>
      <w:proofErr w:type="gramEnd"/>
      <w:r w:rsidRPr="005A0D72">
        <w:rPr>
          <w:color w:val="000000" w:themeColor="text1"/>
        </w:rPr>
        <w:t xml:space="preserve"> the education setting with sufficient and up-to-date information about healthcare needs, including any guidance regarding the administration of medicines and/or treatment </w:t>
      </w:r>
      <w:r>
        <w:rPr>
          <w:color w:val="000000" w:themeColor="text1"/>
        </w:rPr>
        <w:t>from</w:t>
      </w:r>
      <w:r w:rsidRPr="005A0D72">
        <w:rPr>
          <w:color w:val="000000" w:themeColor="text1"/>
        </w:rPr>
        <w:t xml:space="preserve"> healthcare professionals. Whe</w:t>
      </w:r>
      <w:r>
        <w:rPr>
          <w:color w:val="000000" w:themeColor="text1"/>
        </w:rPr>
        <w:t xml:space="preserve">re appropriate, </w:t>
      </w:r>
      <w:r w:rsidRPr="005A0D72">
        <w:rPr>
          <w:color w:val="000000" w:themeColor="text1"/>
        </w:rPr>
        <w:t xml:space="preserve">learners should be encouraged and enabled to manage their own healthcare needs </w:t>
      </w:r>
    </w:p>
    <w:p w:rsidR="001A3337" w:rsidRPr="005A0D72" w:rsidRDefault="001A3337" w:rsidP="001A3337">
      <w:pPr>
        <w:pStyle w:val="ListParagraph"/>
        <w:numPr>
          <w:ilvl w:val="0"/>
          <w:numId w:val="10"/>
        </w:numPr>
        <w:ind w:left="567" w:hanging="567"/>
        <w:contextualSpacing w:val="0"/>
        <w:rPr>
          <w:color w:val="000000" w:themeColor="text1"/>
        </w:rPr>
      </w:pPr>
      <w:r>
        <w:rPr>
          <w:color w:val="000000" w:themeColor="text1"/>
        </w:rPr>
        <w:t>i</w:t>
      </w:r>
      <w:r w:rsidRPr="005A0D72">
        <w:rPr>
          <w:color w:val="000000" w:themeColor="text1"/>
        </w:rPr>
        <w:t xml:space="preserve">nform the education setting </w:t>
      </w:r>
      <w:r>
        <w:rPr>
          <w:color w:val="000000" w:themeColor="text1"/>
        </w:rPr>
        <w:t xml:space="preserve">of any changes such as type of </w:t>
      </w:r>
      <w:r w:rsidRPr="005A0D72">
        <w:rPr>
          <w:color w:val="000000" w:themeColor="text1"/>
        </w:rPr>
        <w:t>medication</w:t>
      </w:r>
      <w:r>
        <w:rPr>
          <w:color w:val="000000" w:themeColor="text1"/>
        </w:rPr>
        <w:t>, dosage or</w:t>
      </w:r>
      <w:r w:rsidRPr="005A0D72">
        <w:rPr>
          <w:color w:val="000000" w:themeColor="text1"/>
        </w:rPr>
        <w:t xml:space="preserve"> method </w:t>
      </w:r>
      <w:r>
        <w:rPr>
          <w:color w:val="000000" w:themeColor="text1"/>
        </w:rPr>
        <w:t>of administration</w:t>
      </w:r>
      <w:r w:rsidRPr="005A0D72">
        <w:rPr>
          <w:color w:val="000000" w:themeColor="text1"/>
        </w:rPr>
        <w:t xml:space="preserve"> </w:t>
      </w:r>
    </w:p>
    <w:p w:rsidR="001A3337" w:rsidRPr="005A0D72" w:rsidRDefault="001A3337" w:rsidP="001A3337">
      <w:pPr>
        <w:pStyle w:val="ListParagraph"/>
        <w:numPr>
          <w:ilvl w:val="0"/>
          <w:numId w:val="10"/>
        </w:numPr>
        <w:ind w:left="567" w:hanging="567"/>
        <w:contextualSpacing w:val="0"/>
        <w:rPr>
          <w:color w:val="000000" w:themeColor="text1"/>
        </w:rPr>
      </w:pPr>
      <w:r>
        <w:rPr>
          <w:color w:val="000000" w:themeColor="text1"/>
        </w:rPr>
        <w:t>p</w:t>
      </w:r>
      <w:r w:rsidRPr="005A0D72">
        <w:rPr>
          <w:color w:val="000000" w:themeColor="text1"/>
        </w:rPr>
        <w:t>rovide relevant in-date medicines</w:t>
      </w:r>
      <w:r>
        <w:rPr>
          <w:color w:val="000000" w:themeColor="text1"/>
        </w:rPr>
        <w:t>, correctly labelled,</w:t>
      </w:r>
      <w:r w:rsidRPr="005A0D72">
        <w:rPr>
          <w:color w:val="000000" w:themeColor="text1"/>
        </w:rPr>
        <w:t xml:space="preserve"> with written dosage and administration instructions</w:t>
      </w:r>
    </w:p>
    <w:p w:rsidR="001A3337" w:rsidRPr="005A0D72" w:rsidRDefault="001A3337" w:rsidP="001A3337">
      <w:pPr>
        <w:pStyle w:val="ListParagraph"/>
        <w:numPr>
          <w:ilvl w:val="0"/>
          <w:numId w:val="10"/>
        </w:numPr>
        <w:ind w:left="567" w:hanging="567"/>
        <w:contextualSpacing w:val="0"/>
        <w:rPr>
          <w:color w:val="000000" w:themeColor="text1"/>
        </w:rPr>
      </w:pPr>
      <w:r>
        <w:rPr>
          <w:color w:val="000000" w:themeColor="text1"/>
        </w:rPr>
        <w:t>e</w:t>
      </w:r>
      <w:r w:rsidRPr="005A0D72">
        <w:rPr>
          <w:color w:val="000000" w:themeColor="text1"/>
        </w:rPr>
        <w:t>nsure a nominated adult is contactable at all times and all necessary forms are completed and signed</w:t>
      </w:r>
    </w:p>
    <w:p w:rsidR="001A3337" w:rsidRDefault="001A3337" w:rsidP="001A3337">
      <w:pPr>
        <w:pStyle w:val="ListParagraph"/>
        <w:numPr>
          <w:ilvl w:val="0"/>
          <w:numId w:val="10"/>
        </w:numPr>
        <w:ind w:left="567" w:hanging="567"/>
        <w:contextualSpacing w:val="0"/>
        <w:rPr>
          <w:color w:val="000000" w:themeColor="text1"/>
        </w:rPr>
      </w:pPr>
      <w:proofErr w:type="gramStart"/>
      <w:r>
        <w:rPr>
          <w:color w:val="000000" w:themeColor="text1"/>
        </w:rPr>
        <w:t>i</w:t>
      </w:r>
      <w:r w:rsidRPr="005A0D72">
        <w:rPr>
          <w:color w:val="000000" w:themeColor="text1"/>
        </w:rPr>
        <w:t>nform</w:t>
      </w:r>
      <w:proofErr w:type="gramEnd"/>
      <w:r w:rsidRPr="005A0D72">
        <w:rPr>
          <w:color w:val="000000" w:themeColor="text1"/>
        </w:rPr>
        <w:t xml:space="preserve"> the </w:t>
      </w:r>
      <w:r>
        <w:rPr>
          <w:color w:val="000000" w:themeColor="text1"/>
        </w:rPr>
        <w:t>education setting</w:t>
      </w:r>
      <w:r w:rsidRPr="005A0D72">
        <w:rPr>
          <w:color w:val="000000" w:themeColor="text1"/>
        </w:rPr>
        <w:t xml:space="preserve"> if their child has</w:t>
      </w:r>
      <w:r>
        <w:rPr>
          <w:color w:val="000000" w:themeColor="text1"/>
        </w:rPr>
        <w:t>/had an infectious</w:t>
      </w:r>
      <w:r w:rsidRPr="005A0D72">
        <w:rPr>
          <w:color w:val="000000" w:themeColor="text1"/>
        </w:rPr>
        <w:t xml:space="preserve"> disease </w:t>
      </w:r>
      <w:r>
        <w:rPr>
          <w:color w:val="000000" w:themeColor="text1"/>
        </w:rPr>
        <w:t xml:space="preserve">or condition </w:t>
      </w:r>
      <w:r w:rsidRPr="005A0D72">
        <w:rPr>
          <w:color w:val="000000" w:themeColor="text1"/>
        </w:rPr>
        <w:t xml:space="preserve">while </w:t>
      </w:r>
      <w:r>
        <w:rPr>
          <w:color w:val="000000" w:themeColor="text1"/>
        </w:rPr>
        <w:t>in attendance.</w:t>
      </w:r>
    </w:p>
    <w:bookmarkEnd w:id="47"/>
    <w:bookmarkEnd w:id="48"/>
    <w:bookmarkEnd w:id="49"/>
    <w:bookmarkEnd w:id="50"/>
    <w:bookmarkEnd w:id="51"/>
    <w:bookmarkEnd w:id="52"/>
    <w:bookmarkEnd w:id="53"/>
    <w:bookmarkEnd w:id="54"/>
    <w:bookmarkEnd w:id="55"/>
    <w:bookmarkEnd w:id="56"/>
    <w:bookmarkEnd w:id="57"/>
    <w:bookmarkEnd w:id="58"/>
    <w:p w:rsidR="001A3337" w:rsidRPr="00882D0F" w:rsidRDefault="001A3337" w:rsidP="001A3337">
      <w:pPr>
        <w:pStyle w:val="ListParagraph"/>
        <w:ind w:left="0"/>
        <w:rPr>
          <w:color w:val="000000" w:themeColor="text1"/>
        </w:rPr>
      </w:pPr>
    </w:p>
    <w:p w:rsidR="001A3337" w:rsidRDefault="001A3337" w:rsidP="001A3337">
      <w:pPr>
        <w:pStyle w:val="Heading3"/>
        <w:keepNext w:val="0"/>
        <w:keepLines w:val="0"/>
        <w:numPr>
          <w:ilvl w:val="0"/>
          <w:numId w:val="11"/>
        </w:numPr>
        <w:tabs>
          <w:tab w:val="left" w:pos="567"/>
        </w:tabs>
        <w:spacing w:before="0"/>
        <w:ind w:left="0" w:firstLine="0"/>
        <w:rPr>
          <w:rFonts w:ascii="Arial" w:hAnsi="Arial" w:cs="Arial"/>
          <w:color w:val="000000" w:themeColor="text1"/>
        </w:rPr>
      </w:pPr>
      <w:bookmarkStart w:id="59" w:name="_Toc457845455"/>
      <w:bookmarkStart w:id="60" w:name="_Toc457845702"/>
      <w:bookmarkStart w:id="61" w:name="_Toc424564457"/>
      <w:bookmarkStart w:id="62" w:name="_Toc424574129"/>
      <w:bookmarkStart w:id="63" w:name="_Toc424603189"/>
      <w:bookmarkStart w:id="64" w:name="_Toc424603428"/>
      <w:bookmarkStart w:id="65" w:name="_Toc426729832"/>
      <w:bookmarkStart w:id="66" w:name="_Toc426730142"/>
      <w:bookmarkStart w:id="67" w:name="_Toc426731207"/>
      <w:bookmarkStart w:id="68" w:name="_Toc427800809"/>
      <w:bookmarkStart w:id="69" w:name="_Toc427843084"/>
      <w:bookmarkStart w:id="70" w:name="_Toc433276906"/>
      <w:bookmarkStart w:id="71" w:name="_Toc433889948"/>
      <w:bookmarkStart w:id="72" w:name="_Toc440373475"/>
      <w:r w:rsidRPr="001C2A5E">
        <w:rPr>
          <w:rFonts w:ascii="Arial" w:hAnsi="Arial" w:cs="Arial"/>
          <w:color w:val="000000" w:themeColor="text1"/>
        </w:rPr>
        <w:t xml:space="preserve">NHS Wales </w:t>
      </w:r>
      <w:r w:rsidRPr="0015272E">
        <w:rPr>
          <w:rFonts w:ascii="Arial" w:hAnsi="Arial" w:cs="Arial"/>
          <w:color w:val="000000" w:themeColor="text1"/>
        </w:rPr>
        <w:t>school health nursing service, third sector organisations and other specialist services</w:t>
      </w:r>
      <w:bookmarkEnd w:id="59"/>
      <w:bookmarkEnd w:id="60"/>
      <w:r w:rsidRPr="0015272E">
        <w:rPr>
          <w:rFonts w:ascii="Arial" w:hAnsi="Arial" w:cs="Arial"/>
          <w:color w:val="000000" w:themeColor="text1"/>
        </w:rPr>
        <w:t xml:space="preserve"> </w:t>
      </w:r>
    </w:p>
    <w:p w:rsidR="001A3337" w:rsidRPr="0015272E" w:rsidRDefault="001A3337" w:rsidP="001A3337">
      <w:pPr>
        <w:pStyle w:val="Heading3"/>
        <w:rPr>
          <w:rFonts w:ascii="Arial" w:hAnsi="Arial" w:cs="Arial"/>
          <w:color w:val="000000" w:themeColor="text1"/>
        </w:rPr>
      </w:pPr>
      <w:r w:rsidRPr="002517B9">
        <w:rPr>
          <w:rFonts w:ascii="Arial" w:hAnsi="Arial" w:cs="Arial"/>
          <w:color w:val="000000" w:themeColor="text1"/>
        </w:rPr>
        <w:t>Healthcare and practical support can be found from a number of organisations. Education settings have access to a health advice service. The scope and type of support the service can offer may include:</w:t>
      </w:r>
      <w:bookmarkEnd w:id="61"/>
      <w:bookmarkEnd w:id="62"/>
      <w:bookmarkEnd w:id="63"/>
      <w:bookmarkEnd w:id="64"/>
      <w:bookmarkEnd w:id="65"/>
      <w:bookmarkEnd w:id="66"/>
      <w:bookmarkEnd w:id="67"/>
      <w:bookmarkEnd w:id="68"/>
      <w:bookmarkEnd w:id="69"/>
      <w:bookmarkEnd w:id="70"/>
      <w:bookmarkEnd w:id="71"/>
      <w:bookmarkEnd w:id="72"/>
    </w:p>
    <w:p w:rsidR="001A3337" w:rsidRPr="00882D0F" w:rsidRDefault="001A3337" w:rsidP="001A3337">
      <w:pPr>
        <w:rPr>
          <w:color w:val="000000" w:themeColor="text1"/>
        </w:rPr>
      </w:pPr>
    </w:p>
    <w:p w:rsidR="001A3337" w:rsidRPr="00882D0F" w:rsidRDefault="001A3337" w:rsidP="001A3337">
      <w:pPr>
        <w:pStyle w:val="ListParagraph"/>
        <w:numPr>
          <w:ilvl w:val="1"/>
          <w:numId w:val="10"/>
        </w:numPr>
        <w:ind w:left="567" w:hanging="567"/>
        <w:contextualSpacing w:val="0"/>
        <w:rPr>
          <w:color w:val="000000" w:themeColor="text1"/>
        </w:rPr>
      </w:pPr>
      <w:r>
        <w:rPr>
          <w:color w:val="000000" w:themeColor="text1"/>
        </w:rPr>
        <w:t>o</w:t>
      </w:r>
      <w:r w:rsidRPr="00882D0F">
        <w:rPr>
          <w:color w:val="000000" w:themeColor="text1"/>
        </w:rPr>
        <w:t xml:space="preserve">ffering advice on the development of </w:t>
      </w:r>
      <w:r>
        <w:rPr>
          <w:color w:val="000000" w:themeColor="text1"/>
        </w:rPr>
        <w:t>IHP</w:t>
      </w:r>
      <w:r w:rsidRPr="00882D0F">
        <w:rPr>
          <w:color w:val="000000" w:themeColor="text1"/>
        </w:rPr>
        <w:t>s</w:t>
      </w:r>
    </w:p>
    <w:p w:rsidR="001A3337" w:rsidRPr="00882D0F" w:rsidRDefault="001A3337" w:rsidP="001A3337">
      <w:pPr>
        <w:pStyle w:val="ListParagraph"/>
        <w:numPr>
          <w:ilvl w:val="1"/>
          <w:numId w:val="10"/>
        </w:numPr>
        <w:ind w:left="567" w:hanging="567"/>
        <w:contextualSpacing w:val="0"/>
        <w:rPr>
          <w:color w:val="000000" w:themeColor="text1"/>
        </w:rPr>
      </w:pPr>
      <w:r>
        <w:rPr>
          <w:color w:val="000000" w:themeColor="text1"/>
        </w:rPr>
        <w:t>a</w:t>
      </w:r>
      <w:r w:rsidRPr="00882D0F">
        <w:rPr>
          <w:color w:val="000000" w:themeColor="text1"/>
        </w:rPr>
        <w:t xml:space="preserve">ssisting in the identification of the training required for the education setting to successfully implement </w:t>
      </w:r>
      <w:r>
        <w:rPr>
          <w:color w:val="000000" w:themeColor="text1"/>
        </w:rPr>
        <w:t>IHP</w:t>
      </w:r>
      <w:r w:rsidRPr="00882D0F">
        <w:rPr>
          <w:color w:val="000000" w:themeColor="text1"/>
        </w:rPr>
        <w:t>s</w:t>
      </w:r>
    </w:p>
    <w:p w:rsidR="001A3337" w:rsidRDefault="001A3337" w:rsidP="001A3337">
      <w:pPr>
        <w:pStyle w:val="ListParagraph"/>
        <w:numPr>
          <w:ilvl w:val="1"/>
          <w:numId w:val="10"/>
        </w:numPr>
        <w:ind w:left="567" w:hanging="567"/>
        <w:contextualSpacing w:val="0"/>
        <w:rPr>
          <w:color w:val="000000" w:themeColor="text1"/>
        </w:rPr>
      </w:pPr>
      <w:proofErr w:type="gramStart"/>
      <w:r>
        <w:rPr>
          <w:color w:val="000000" w:themeColor="text1"/>
        </w:rPr>
        <w:t>s</w:t>
      </w:r>
      <w:r w:rsidRPr="00882D0F">
        <w:rPr>
          <w:color w:val="000000" w:themeColor="text1"/>
        </w:rPr>
        <w:t>upporting</w:t>
      </w:r>
      <w:proofErr w:type="gramEnd"/>
      <w:r w:rsidRPr="00882D0F">
        <w:rPr>
          <w:color w:val="000000" w:themeColor="text1"/>
        </w:rPr>
        <w:t xml:space="preserve"> staff to implement a learner’s </w:t>
      </w:r>
      <w:r>
        <w:rPr>
          <w:color w:val="000000" w:themeColor="text1"/>
        </w:rPr>
        <w:t>IHP</w:t>
      </w:r>
      <w:r w:rsidRPr="00882D0F">
        <w:rPr>
          <w:color w:val="000000" w:themeColor="text1"/>
        </w:rPr>
        <w:t xml:space="preserve"> through advice and liaison </w:t>
      </w:r>
      <w:r>
        <w:rPr>
          <w:color w:val="000000" w:themeColor="text1"/>
        </w:rPr>
        <w:t>with</w:t>
      </w:r>
      <w:r w:rsidRPr="00882D0F">
        <w:rPr>
          <w:color w:val="000000" w:themeColor="text1"/>
        </w:rPr>
        <w:t xml:space="preserve"> other healthcare, social care and third sector professionals. </w:t>
      </w:r>
    </w:p>
    <w:p w:rsidR="001A3337" w:rsidRPr="00882D0F" w:rsidRDefault="001A3337" w:rsidP="001A3337">
      <w:pPr>
        <w:pStyle w:val="ListParagraph"/>
        <w:ind w:left="0"/>
        <w:rPr>
          <w:color w:val="000000" w:themeColor="text1"/>
        </w:rPr>
      </w:pPr>
    </w:p>
    <w:p w:rsidR="001A3337" w:rsidRDefault="001A3337" w:rsidP="001A3337">
      <w:r w:rsidRPr="00882D0F">
        <w:rPr>
          <w:color w:val="000000" w:themeColor="text1"/>
        </w:rPr>
        <w:t xml:space="preserve">Health advice and support can also be provided by specialist health professionals such as </w:t>
      </w:r>
      <w:r>
        <w:rPr>
          <w:color w:val="000000" w:themeColor="text1"/>
        </w:rPr>
        <w:t xml:space="preserve">GPs, paediatricians, </w:t>
      </w:r>
      <w:r w:rsidRPr="00882D0F">
        <w:rPr>
          <w:color w:val="000000" w:themeColor="text1"/>
        </w:rPr>
        <w:t>speech and language therapists,</w:t>
      </w:r>
      <w:r>
        <w:rPr>
          <w:color w:val="000000" w:themeColor="text1"/>
        </w:rPr>
        <w:t xml:space="preserve"> occupational therapists,</w:t>
      </w:r>
      <w:r w:rsidRPr="00882D0F">
        <w:rPr>
          <w:color w:val="000000" w:themeColor="text1"/>
        </w:rPr>
        <w:t xml:space="preserve"> physiotherapists, dieticians and </w:t>
      </w:r>
      <w:r w:rsidRPr="00C23B16">
        <w:rPr>
          <w:color w:val="000000" w:themeColor="text1"/>
        </w:rPr>
        <w:t>diabetes specialist nurses. In addition, third sector voluntary bodies</w:t>
      </w:r>
      <w:r>
        <w:rPr>
          <w:color w:val="000000" w:themeColor="text1"/>
        </w:rPr>
        <w:t xml:space="preserve"> can provide advice and </w:t>
      </w:r>
      <w:r w:rsidRPr="00C23B16">
        <w:rPr>
          <w:color w:val="000000" w:themeColor="text1"/>
        </w:rPr>
        <w:t>practical support</w:t>
      </w:r>
      <w:r>
        <w:rPr>
          <w:color w:val="000000" w:themeColor="text1"/>
        </w:rPr>
        <w:t>.</w:t>
      </w:r>
      <w:r w:rsidRPr="00C23B16">
        <w:rPr>
          <w:color w:val="000000" w:themeColor="text1"/>
        </w:rPr>
        <w:t xml:space="preserve"> </w:t>
      </w:r>
      <w:r>
        <w:rPr>
          <w:color w:val="000000" w:themeColor="text1"/>
        </w:rPr>
        <w:t xml:space="preserve">Proactively engaging with specialist services </w:t>
      </w:r>
      <w:r w:rsidRPr="00C23B16">
        <w:rPr>
          <w:color w:val="000000" w:themeColor="text1"/>
        </w:rPr>
        <w:t xml:space="preserve">can </w:t>
      </w:r>
      <w:r>
        <w:rPr>
          <w:color w:val="000000" w:themeColor="text1"/>
        </w:rPr>
        <w:t>provide practical help when writing and implementing IHPs. They can also provide training and awareness-raising resources, including video links.</w:t>
      </w:r>
      <w:bookmarkStart w:id="73" w:name="_Toc457845456"/>
      <w:bookmarkStart w:id="74" w:name="_Toc457845703"/>
    </w:p>
    <w:bookmarkEnd w:id="73"/>
    <w:bookmarkEnd w:id="74"/>
    <w:p w:rsidR="001A3337" w:rsidRDefault="001A3337" w:rsidP="001A3337"/>
    <w:p w:rsidR="00BD352B" w:rsidRDefault="00BD352B" w:rsidP="00492656">
      <w:pPr>
        <w:jc w:val="center"/>
        <w:rPr>
          <w:color w:val="000000" w:themeColor="text1"/>
        </w:rPr>
      </w:pPr>
    </w:p>
    <w:p w:rsidR="00BD352B" w:rsidRPr="00BD352B" w:rsidRDefault="00BD352B" w:rsidP="00BD352B">
      <w:pPr>
        <w:rPr>
          <w:color w:val="000000" w:themeColor="text1"/>
          <w:u w:val="single"/>
        </w:rPr>
      </w:pPr>
      <w:r w:rsidRPr="00BD352B">
        <w:rPr>
          <w:color w:val="000000" w:themeColor="text1"/>
          <w:u w:val="single"/>
        </w:rPr>
        <w:t>Creating an Accessible Learning Environment</w:t>
      </w:r>
    </w:p>
    <w:p w:rsidR="00492656" w:rsidRDefault="00492656" w:rsidP="001A3337">
      <w:pPr>
        <w:rPr>
          <w:color w:val="000000" w:themeColor="text1"/>
        </w:rPr>
      </w:pPr>
    </w:p>
    <w:p w:rsidR="00AA72E3" w:rsidRDefault="00DF109B" w:rsidP="001A3337">
      <w:pPr>
        <w:rPr>
          <w:u w:val="single"/>
        </w:rPr>
      </w:pPr>
      <w:r w:rsidRPr="00DF109B">
        <w:rPr>
          <w:u w:val="single"/>
        </w:rPr>
        <w:t xml:space="preserve">Learners </w:t>
      </w:r>
    </w:p>
    <w:p w:rsidR="00DF109B" w:rsidRDefault="00DF109B" w:rsidP="001A3337">
      <w:pPr>
        <w:rPr>
          <w:u w:val="single"/>
        </w:rPr>
      </w:pPr>
    </w:p>
    <w:p w:rsidR="00DF109B" w:rsidRDefault="00DF109B" w:rsidP="00DF109B">
      <w:pPr>
        <w:pStyle w:val="ListParagraph"/>
        <w:ind w:left="0"/>
        <w:rPr>
          <w:color w:val="000000" w:themeColor="text1"/>
        </w:rPr>
      </w:pPr>
      <w:r>
        <w:rPr>
          <w:color w:val="000000" w:themeColor="text1"/>
        </w:rPr>
        <w:t>Local authorities and g</w:t>
      </w:r>
      <w:r w:rsidRPr="008B4FB3">
        <w:rPr>
          <w:color w:val="000000" w:themeColor="text1"/>
        </w:rPr>
        <w:t xml:space="preserve">overning bodies should ensure their </w:t>
      </w:r>
      <w:r>
        <w:rPr>
          <w:color w:val="000000" w:themeColor="text1"/>
        </w:rPr>
        <w:t xml:space="preserve">education </w:t>
      </w:r>
      <w:r w:rsidRPr="008B4FB3">
        <w:rPr>
          <w:color w:val="000000" w:themeColor="text1"/>
        </w:rPr>
        <w:t>setting</w:t>
      </w:r>
      <w:r>
        <w:rPr>
          <w:color w:val="000000" w:themeColor="text1"/>
        </w:rPr>
        <w:t>s</w:t>
      </w:r>
      <w:r w:rsidRPr="008B4FB3">
        <w:rPr>
          <w:color w:val="000000" w:themeColor="text1"/>
        </w:rPr>
        <w:t xml:space="preserve"> </w:t>
      </w:r>
      <w:r>
        <w:rPr>
          <w:color w:val="000000" w:themeColor="text1"/>
        </w:rPr>
        <w:t>are</w:t>
      </w:r>
      <w:r w:rsidRPr="008B4FB3">
        <w:rPr>
          <w:color w:val="000000" w:themeColor="text1"/>
        </w:rPr>
        <w:t xml:space="preserve"> inclusive and accessible in the fullest sense to learners with healthcare needs. </w:t>
      </w:r>
      <w:r>
        <w:rPr>
          <w:color w:val="000000" w:themeColor="text1"/>
        </w:rPr>
        <w:t>This includes the following.</w:t>
      </w:r>
    </w:p>
    <w:p w:rsidR="00DF109B" w:rsidRDefault="00DF109B" w:rsidP="00DF109B">
      <w:pPr>
        <w:pStyle w:val="ListParagraph"/>
        <w:ind w:left="1080"/>
        <w:rPr>
          <w:color w:val="000000" w:themeColor="text1"/>
        </w:rPr>
      </w:pPr>
      <w:r>
        <w:rPr>
          <w:color w:val="000000" w:themeColor="text1"/>
        </w:rPr>
        <w:t xml:space="preserve"> </w:t>
      </w: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 xml:space="preserve">Physical </w:t>
      </w:r>
      <w:r w:rsidRPr="00B21F6C">
        <w:rPr>
          <w:b/>
          <w:color w:val="000000" w:themeColor="text1"/>
        </w:rPr>
        <w:t>access</w:t>
      </w:r>
      <w:r>
        <w:rPr>
          <w:b/>
          <w:color w:val="000000" w:themeColor="text1"/>
        </w:rPr>
        <w:t xml:space="preserve"> to </w:t>
      </w:r>
      <w:r w:rsidRPr="001C2A5E">
        <w:rPr>
          <w:b/>
          <w:color w:val="000000" w:themeColor="text1"/>
        </w:rPr>
        <w:t>education setting</w:t>
      </w:r>
      <w:r>
        <w:rPr>
          <w:b/>
          <w:color w:val="000000" w:themeColor="text1"/>
        </w:rPr>
        <w:t xml:space="preserve"> buildings</w:t>
      </w:r>
    </w:p>
    <w:p w:rsidR="00DF109B" w:rsidRPr="00B21F6C" w:rsidRDefault="00DF109B" w:rsidP="00DF109B">
      <w:pPr>
        <w:pStyle w:val="ListParagraph"/>
        <w:ind w:left="567"/>
        <w:rPr>
          <w:color w:val="000000" w:themeColor="text1"/>
        </w:rPr>
      </w:pPr>
      <w:r>
        <w:rPr>
          <w:color w:val="000000" w:themeColor="text1"/>
        </w:rPr>
        <w:t>A</w:t>
      </w:r>
      <w:r w:rsidRPr="00C23B16">
        <w:rPr>
          <w:color w:val="000000" w:themeColor="text1"/>
        </w:rPr>
        <w:t xml:space="preserve"> duty </w:t>
      </w:r>
      <w:r>
        <w:rPr>
          <w:color w:val="000000" w:themeColor="text1"/>
        </w:rPr>
        <w:t xml:space="preserve">is </w:t>
      </w:r>
      <w:r w:rsidRPr="00C23B16">
        <w:rPr>
          <w:color w:val="000000" w:themeColor="text1"/>
        </w:rPr>
        <w:t xml:space="preserve">placed on local authorities to produce a written accessibility </w:t>
      </w:r>
      <w:r w:rsidRPr="00B21F6C">
        <w:rPr>
          <w:color w:val="000000" w:themeColor="text1"/>
        </w:rPr>
        <w:t>strategy for all schools they are responsible for under the Equality Act 2010</w:t>
      </w:r>
      <w:r w:rsidRPr="00E11B07">
        <w:rPr>
          <w:rStyle w:val="FootnoteReference"/>
          <w:color w:val="000000" w:themeColor="text1"/>
        </w:rPr>
        <w:footnoteReference w:id="6"/>
      </w:r>
      <w:r w:rsidRPr="00B21F6C">
        <w:rPr>
          <w:color w:val="000000" w:themeColor="text1"/>
        </w:rPr>
        <w:t>. Any such strategy is expected to address:</w:t>
      </w:r>
    </w:p>
    <w:p w:rsidR="00DF109B" w:rsidRPr="00AD012A" w:rsidRDefault="00DF109B" w:rsidP="00DF109B">
      <w:pPr>
        <w:spacing w:after="200"/>
        <w:ind w:left="567"/>
        <w:rPr>
          <w:color w:val="000000" w:themeColor="text1"/>
        </w:rPr>
      </w:pPr>
      <w:r w:rsidRPr="001C2A5E">
        <w:rPr>
          <w:color w:val="000000" w:themeColor="text1"/>
        </w:rPr>
        <w:t>‘improving the physical environments of schools for the purpose of increasing the extent to which disabled learners are able to take advantage of education and benefits, facilities or services provided or offered by the schools’</w:t>
      </w:r>
      <w:r w:rsidRPr="00AD012A">
        <w:rPr>
          <w:color w:val="000000" w:themeColor="text1"/>
        </w:rPr>
        <w:t xml:space="preserve"> (Schedule 10</w:t>
      </w:r>
      <w:r>
        <w:rPr>
          <w:color w:val="000000" w:themeColor="text1"/>
        </w:rPr>
        <w:t>,</w:t>
      </w:r>
      <w:r w:rsidRPr="00AD012A">
        <w:rPr>
          <w:color w:val="000000" w:themeColor="text1"/>
        </w:rPr>
        <w:t xml:space="preserve"> Equality Act 2010</w:t>
      </w:r>
      <w:r w:rsidRPr="00AD012A">
        <w:rPr>
          <w:rStyle w:val="FootnoteReference"/>
          <w:color w:val="000000" w:themeColor="text1"/>
        </w:rPr>
        <w:footnoteReference w:id="7"/>
      </w:r>
      <w:r w:rsidRPr="00AD012A">
        <w:rPr>
          <w:color w:val="000000" w:themeColor="text1"/>
        </w:rPr>
        <w:t>).</w:t>
      </w:r>
    </w:p>
    <w:p w:rsidR="00DF109B" w:rsidRDefault="00DF109B" w:rsidP="00DF109B">
      <w:pPr>
        <w:pStyle w:val="ListParagraph"/>
        <w:spacing w:after="200"/>
        <w:ind w:left="567"/>
        <w:rPr>
          <w:color w:val="000000" w:themeColor="text1"/>
        </w:rPr>
      </w:pPr>
      <w:r w:rsidRPr="00B21F6C">
        <w:rPr>
          <w:color w:val="000000" w:themeColor="text1"/>
        </w:rPr>
        <w:t>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w:t>
      </w:r>
    </w:p>
    <w:p w:rsidR="00DF109B" w:rsidRPr="001C2A5E" w:rsidRDefault="00DF109B" w:rsidP="00DF109B">
      <w:pPr>
        <w:pStyle w:val="ListParagraph"/>
        <w:spacing w:after="200"/>
        <w:ind w:left="567"/>
        <w:rPr>
          <w:color w:val="000000" w:themeColor="text1"/>
        </w:rPr>
      </w:pP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Reasonable adjustments</w:t>
      </w:r>
      <w:r>
        <w:rPr>
          <w:b/>
          <w:color w:val="000000" w:themeColor="text1"/>
        </w:rPr>
        <w:t xml:space="preserve"> ‒ </w:t>
      </w:r>
      <w:r w:rsidRPr="00C23B16">
        <w:rPr>
          <w:b/>
          <w:color w:val="000000" w:themeColor="text1"/>
        </w:rPr>
        <w:t>auxiliary aids or services</w:t>
      </w:r>
    </w:p>
    <w:p w:rsidR="00DF109B" w:rsidRDefault="00DF109B" w:rsidP="00DF109B">
      <w:pPr>
        <w:pStyle w:val="ListParagraph"/>
        <w:spacing w:after="200"/>
        <w:ind w:left="567"/>
        <w:rPr>
          <w:color w:val="000000" w:themeColor="text1"/>
        </w:rPr>
      </w:pPr>
      <w:r>
        <w:rPr>
          <w:color w:val="000000" w:themeColor="text1"/>
        </w:rPr>
        <w:t xml:space="preserve">The </w:t>
      </w:r>
      <w:r w:rsidRPr="00C23B16">
        <w:rPr>
          <w:color w:val="000000" w:themeColor="text1"/>
        </w:rPr>
        <w:t xml:space="preserve">Equality Act </w:t>
      </w:r>
      <w:r w:rsidRPr="00A3002A">
        <w:rPr>
          <w:color w:val="000000" w:themeColor="text1"/>
        </w:rPr>
        <w:t>2010</w:t>
      </w:r>
      <w:r>
        <w:rPr>
          <w:color w:val="000000" w:themeColor="text1"/>
        </w:rPr>
        <w:t xml:space="preserve"> places a duty on learning establishments </w:t>
      </w:r>
      <w:r w:rsidRPr="00C23B16">
        <w:rPr>
          <w:color w:val="000000" w:themeColor="text1"/>
        </w:rPr>
        <w:t xml:space="preserve">to make </w:t>
      </w:r>
      <w:r>
        <w:rPr>
          <w:color w:val="000000" w:themeColor="text1"/>
        </w:rPr>
        <w:t>‘</w:t>
      </w:r>
      <w:r w:rsidRPr="00C23B16">
        <w:rPr>
          <w:color w:val="000000" w:themeColor="text1"/>
        </w:rPr>
        <w:t>reasonable adjustments</w:t>
      </w:r>
      <w:r>
        <w:rPr>
          <w:color w:val="000000" w:themeColor="text1"/>
        </w:rPr>
        <w:t>’</w:t>
      </w:r>
      <w:r w:rsidRPr="00C23B16">
        <w:rPr>
          <w:color w:val="000000" w:themeColor="text1"/>
        </w:rPr>
        <w:t xml:space="preserve"> for </w:t>
      </w:r>
      <w:r>
        <w:rPr>
          <w:color w:val="000000" w:themeColor="text1"/>
        </w:rPr>
        <w:t xml:space="preserve">learners who are </w:t>
      </w:r>
      <w:r w:rsidRPr="00C23B16">
        <w:rPr>
          <w:color w:val="000000" w:themeColor="text1"/>
        </w:rPr>
        <w:t xml:space="preserve">disabled </w:t>
      </w:r>
      <w:r>
        <w:rPr>
          <w:color w:val="000000" w:themeColor="text1"/>
        </w:rPr>
        <w:t xml:space="preserve">as defined by the Act. In regard to these learners, </w:t>
      </w:r>
      <w:r w:rsidRPr="00C23B16">
        <w:rPr>
          <w:color w:val="000000" w:themeColor="text1"/>
        </w:rPr>
        <w:t>auxiliary aids or service</w:t>
      </w:r>
      <w:r>
        <w:rPr>
          <w:color w:val="000000" w:themeColor="text1"/>
        </w:rPr>
        <w:t>s (with the appropriate number of trained staff) must be provided.</w:t>
      </w:r>
    </w:p>
    <w:p w:rsidR="00DF109B" w:rsidRPr="00C23B16" w:rsidRDefault="00DF109B" w:rsidP="00DF109B">
      <w:pPr>
        <w:pStyle w:val="ListParagraph"/>
        <w:spacing w:after="200"/>
        <w:ind w:left="567"/>
        <w:rPr>
          <w:color w:val="000000" w:themeColor="text1"/>
        </w:rPr>
      </w:pPr>
      <w:r>
        <w:rPr>
          <w:color w:val="000000" w:themeColor="text1"/>
        </w:rPr>
        <w:t xml:space="preserve">    </w:t>
      </w: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Day trips and residential visits</w:t>
      </w:r>
    </w:p>
    <w:p w:rsidR="00DF109B" w:rsidRDefault="00DF109B" w:rsidP="00DF109B">
      <w:pPr>
        <w:pStyle w:val="ListParagraph"/>
        <w:ind w:left="567"/>
        <w:rPr>
          <w:color w:val="000000" w:themeColor="text1"/>
        </w:rPr>
      </w:pPr>
      <w:r w:rsidRPr="00C23B16">
        <w:rPr>
          <w:color w:val="000000" w:themeColor="text1"/>
        </w:rPr>
        <w:t>Governing bodies should ensure the education setting actively support</w:t>
      </w:r>
      <w:r>
        <w:rPr>
          <w:color w:val="000000" w:themeColor="text1"/>
        </w:rPr>
        <w:t>s</w:t>
      </w:r>
      <w:r w:rsidRPr="00C23B16">
        <w:rPr>
          <w:color w:val="000000" w:themeColor="text1"/>
        </w:rPr>
        <w:t xml:space="preserve"> </w:t>
      </w:r>
      <w:r>
        <w:rPr>
          <w:color w:val="000000" w:themeColor="text1"/>
        </w:rPr>
        <w:t xml:space="preserve">all </w:t>
      </w:r>
      <w:r w:rsidRPr="00C23B16">
        <w:rPr>
          <w:color w:val="000000" w:themeColor="text1"/>
        </w:rPr>
        <w:t xml:space="preserve">learners with healthcare needs </w:t>
      </w:r>
      <w:r>
        <w:rPr>
          <w:color w:val="000000" w:themeColor="text1"/>
        </w:rPr>
        <w:t xml:space="preserve">to </w:t>
      </w:r>
      <w:r w:rsidRPr="00C23B16">
        <w:rPr>
          <w:color w:val="000000" w:themeColor="text1"/>
        </w:rPr>
        <w:t>participat</w:t>
      </w:r>
      <w:r>
        <w:rPr>
          <w:color w:val="000000" w:themeColor="text1"/>
        </w:rPr>
        <w:t xml:space="preserve">e in </w:t>
      </w:r>
      <w:r w:rsidRPr="00C23B16">
        <w:rPr>
          <w:color w:val="000000" w:themeColor="text1"/>
        </w:rPr>
        <w:t>trips and visits.</w:t>
      </w:r>
      <w:r>
        <w:rPr>
          <w:color w:val="000000" w:themeColor="text1"/>
        </w:rPr>
        <w:t xml:space="preserve"> Governing bodies must be aware of their legal requirements (see ‘Annex 1: Outline of legal framework’ on page 28) to make reasonable adjustments to trips and residential visits ensuring full participation from all learners.</w:t>
      </w:r>
    </w:p>
    <w:p w:rsidR="00DF109B" w:rsidRPr="00C23B16" w:rsidRDefault="00DF109B" w:rsidP="00DF109B">
      <w:pPr>
        <w:pStyle w:val="ListParagraph"/>
        <w:ind w:left="567"/>
        <w:rPr>
          <w:color w:val="000000" w:themeColor="text1"/>
        </w:rPr>
      </w:pPr>
    </w:p>
    <w:p w:rsidR="00DF109B" w:rsidRDefault="00DF109B" w:rsidP="00DF109B">
      <w:pPr>
        <w:pStyle w:val="ListParagraph"/>
        <w:spacing w:after="200"/>
        <w:ind w:left="567"/>
        <w:rPr>
          <w:color w:val="000000" w:themeColor="text1"/>
        </w:rPr>
      </w:pPr>
      <w:r w:rsidRPr="00C23B16">
        <w:rPr>
          <w:color w:val="000000" w:themeColor="text1"/>
        </w:rPr>
        <w:t>Staff should be aware of how a learner’s healthcare needs may impact on participation, and seek to accommodate any reasonable adjustments which would increase the level of participation by the learner</w:t>
      </w:r>
      <w:r w:rsidRPr="00C23B16">
        <w:rPr>
          <w:rStyle w:val="FootnoteReference"/>
          <w:color w:val="000000" w:themeColor="text1"/>
        </w:rPr>
        <w:footnoteReference w:id="8"/>
      </w:r>
      <w:r w:rsidRPr="00C23B16">
        <w:rPr>
          <w:color w:val="000000" w:themeColor="text1"/>
        </w:rPr>
        <w:t xml:space="preserve">. Staff should consider how to accommodate the sharing of personal information with third parties if necessary for off-site activities (in compliance with the Data Protection Act 1998 and </w:t>
      </w:r>
      <w:r>
        <w:rPr>
          <w:color w:val="000000" w:themeColor="text1"/>
        </w:rPr>
        <w:t xml:space="preserve">in </w:t>
      </w:r>
      <w:r w:rsidRPr="00C23B16">
        <w:rPr>
          <w:color w:val="000000" w:themeColor="text1"/>
        </w:rPr>
        <w:t>respecting the learner’s right to privacy)</w:t>
      </w:r>
      <w:r>
        <w:rPr>
          <w:color w:val="000000" w:themeColor="text1"/>
        </w:rPr>
        <w:t>.</w:t>
      </w:r>
      <w:r w:rsidRPr="00C23B16">
        <w:rPr>
          <w:color w:val="000000" w:themeColor="text1"/>
        </w:rPr>
        <w:t xml:space="preserve"> </w:t>
      </w:r>
      <w:r>
        <w:rPr>
          <w:color w:val="000000" w:themeColor="text1"/>
        </w:rPr>
        <w:t>This</w:t>
      </w:r>
      <w:r w:rsidRPr="00C23B16">
        <w:rPr>
          <w:color w:val="000000" w:themeColor="text1"/>
        </w:rPr>
        <w:t xml:space="preserve"> may include information about the healthcare needs of learners, what to do in an emergency and any additional support, medication or equipment needed.</w:t>
      </w:r>
    </w:p>
    <w:p w:rsidR="00DF109B" w:rsidRDefault="00DF109B" w:rsidP="00DF109B">
      <w:pPr>
        <w:pStyle w:val="ListParagraph"/>
        <w:spacing w:after="200"/>
        <w:ind w:left="567"/>
        <w:rPr>
          <w:color w:val="000000" w:themeColor="text1"/>
        </w:rPr>
      </w:pP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B21F6C">
        <w:rPr>
          <w:b/>
          <w:color w:val="000000" w:themeColor="text1"/>
        </w:rPr>
        <w:t>Social</w:t>
      </w:r>
      <w:r w:rsidRPr="00C23B16">
        <w:rPr>
          <w:b/>
          <w:color w:val="000000" w:themeColor="text1"/>
        </w:rPr>
        <w:t xml:space="preserve"> </w:t>
      </w:r>
      <w:r>
        <w:rPr>
          <w:b/>
          <w:color w:val="000000" w:themeColor="text1"/>
        </w:rPr>
        <w:t>i</w:t>
      </w:r>
      <w:r w:rsidRPr="00C23B16">
        <w:rPr>
          <w:b/>
          <w:color w:val="000000" w:themeColor="text1"/>
        </w:rPr>
        <w:t>nteractions</w:t>
      </w:r>
    </w:p>
    <w:p w:rsidR="00DF109B" w:rsidRDefault="00DF109B" w:rsidP="00DF109B">
      <w:pPr>
        <w:pStyle w:val="ListParagraph"/>
        <w:ind w:left="567"/>
        <w:rPr>
          <w:color w:val="000000" w:themeColor="text1"/>
        </w:rPr>
      </w:pPr>
      <w:r w:rsidRPr="00C23B16">
        <w:rPr>
          <w:color w:val="000000" w:themeColor="text1"/>
        </w:rPr>
        <w:t xml:space="preserve">Governing bodies should ensure the involvement of learners with healthcare needs </w:t>
      </w:r>
      <w:r>
        <w:rPr>
          <w:color w:val="000000" w:themeColor="text1"/>
        </w:rPr>
        <w:t>is</w:t>
      </w:r>
      <w:r w:rsidRPr="00C23B16">
        <w:rPr>
          <w:color w:val="000000" w:themeColor="text1"/>
        </w:rPr>
        <w:t xml:space="preserve"> adequately considered in structured and unstructured social activities, such as during breaks, bre</w:t>
      </w:r>
      <w:r>
        <w:rPr>
          <w:color w:val="000000" w:themeColor="text1"/>
        </w:rPr>
        <w:t>akfast club, productions, after-</w:t>
      </w:r>
      <w:r w:rsidRPr="00C23B16">
        <w:rPr>
          <w:color w:val="000000" w:themeColor="text1"/>
        </w:rPr>
        <w:t>hours clubs and residential visits.</w:t>
      </w:r>
    </w:p>
    <w:p w:rsidR="00DF109B" w:rsidRPr="00C23B16" w:rsidRDefault="00DF109B" w:rsidP="00DF109B">
      <w:pPr>
        <w:pStyle w:val="ListParagraph"/>
        <w:ind w:left="567"/>
        <w:rPr>
          <w:color w:val="000000" w:themeColor="text1"/>
        </w:rPr>
      </w:pPr>
    </w:p>
    <w:p w:rsidR="00DF109B" w:rsidRDefault="00DF109B" w:rsidP="00DF109B">
      <w:pPr>
        <w:pStyle w:val="ListParagraph"/>
        <w:ind w:left="567"/>
        <w:rPr>
          <w:color w:val="000000" w:themeColor="text1"/>
        </w:rPr>
      </w:pPr>
      <w:r w:rsidRPr="00C23B16">
        <w:rPr>
          <w:color w:val="000000" w:themeColor="text1"/>
        </w:rPr>
        <w:t xml:space="preserve">The education setting should make all staff aware of the social barriers learners with healthcare needs may experience and how this can lead to bullying and social exclusion. </w:t>
      </w:r>
      <w:r>
        <w:rPr>
          <w:color w:val="000000" w:themeColor="text1"/>
        </w:rPr>
        <w:t>A proactive approach is needed to remove any barriers.</w:t>
      </w:r>
    </w:p>
    <w:p w:rsidR="00DF109B" w:rsidRPr="00C23B16" w:rsidRDefault="00DF109B" w:rsidP="00DF109B">
      <w:pPr>
        <w:pStyle w:val="ListParagraph"/>
        <w:ind w:left="567"/>
        <w:rPr>
          <w:color w:val="000000" w:themeColor="text1"/>
        </w:rPr>
      </w:pP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 xml:space="preserve">Exercise and </w:t>
      </w:r>
      <w:r>
        <w:rPr>
          <w:b/>
          <w:color w:val="000000" w:themeColor="text1"/>
        </w:rPr>
        <w:t>p</w:t>
      </w:r>
      <w:r w:rsidRPr="00C23B16">
        <w:rPr>
          <w:b/>
          <w:color w:val="000000" w:themeColor="text1"/>
        </w:rPr>
        <w:t xml:space="preserve">hysical </w:t>
      </w:r>
      <w:r>
        <w:rPr>
          <w:b/>
          <w:color w:val="000000" w:themeColor="text1"/>
        </w:rPr>
        <w:t>a</w:t>
      </w:r>
      <w:r w:rsidRPr="00C23B16">
        <w:rPr>
          <w:b/>
          <w:color w:val="000000" w:themeColor="text1"/>
        </w:rPr>
        <w:t>ctivity</w:t>
      </w:r>
    </w:p>
    <w:p w:rsidR="00DF109B" w:rsidRDefault="00DF109B" w:rsidP="00DF109B">
      <w:pPr>
        <w:pStyle w:val="ListParagraph"/>
        <w:ind w:left="567"/>
        <w:rPr>
          <w:color w:val="000000" w:themeColor="text1"/>
        </w:rPr>
      </w:pPr>
      <w:r w:rsidRPr="00C23B16">
        <w:rPr>
          <w:color w:val="000000" w:themeColor="text1"/>
        </w:rPr>
        <w:t>The education setting should fully understand the importance of all learners taking part in physical activities and staff should make appropriate adjustments to sports and other activities to make them accessible to all learners, including after</w:t>
      </w:r>
      <w:r>
        <w:rPr>
          <w:color w:val="000000" w:themeColor="text1"/>
        </w:rPr>
        <w:noBreakHyphen/>
      </w:r>
      <w:r w:rsidRPr="00C23B16">
        <w:rPr>
          <w:color w:val="000000" w:themeColor="text1"/>
        </w:rPr>
        <w:t>hours clubs and team sports.</w:t>
      </w:r>
    </w:p>
    <w:p w:rsidR="00DF109B" w:rsidRPr="00C23B16" w:rsidRDefault="00DF109B" w:rsidP="00DF109B">
      <w:pPr>
        <w:pStyle w:val="ListParagraph"/>
        <w:ind w:left="567"/>
        <w:rPr>
          <w:color w:val="000000" w:themeColor="text1"/>
        </w:rPr>
      </w:pPr>
    </w:p>
    <w:p w:rsidR="00DF109B" w:rsidRDefault="00DF109B" w:rsidP="00DF109B">
      <w:pPr>
        <w:pStyle w:val="ListParagraph"/>
        <w:ind w:left="567"/>
        <w:rPr>
          <w:color w:val="000000" w:themeColor="text1"/>
        </w:rPr>
      </w:pPr>
      <w:r w:rsidRPr="00C23B16">
        <w:rPr>
          <w:color w:val="000000" w:themeColor="text1"/>
        </w:rPr>
        <w:t>Staff should be made fully aware of learners</w:t>
      </w:r>
      <w:r>
        <w:rPr>
          <w:color w:val="000000" w:themeColor="text1"/>
        </w:rPr>
        <w:t>’</w:t>
      </w:r>
      <w:r w:rsidRPr="00C23B16">
        <w:rPr>
          <w:color w:val="000000" w:themeColor="text1"/>
        </w:rPr>
        <w:t xml:space="preserve"> healthcare needs and potential triggers</w:t>
      </w:r>
      <w:r>
        <w:rPr>
          <w:color w:val="000000" w:themeColor="text1"/>
        </w:rPr>
        <w:t>. They should know how to</w:t>
      </w:r>
      <w:r w:rsidRPr="00C23B16">
        <w:rPr>
          <w:color w:val="000000" w:themeColor="text1"/>
        </w:rPr>
        <w:t xml:space="preserve"> respond appropriately </w:t>
      </w:r>
      <w:r>
        <w:rPr>
          <w:color w:val="000000" w:themeColor="text1"/>
        </w:rPr>
        <w:t>and promptly i</w:t>
      </w:r>
      <w:r w:rsidRPr="00C23B16">
        <w:rPr>
          <w:color w:val="000000" w:themeColor="text1"/>
        </w:rPr>
        <w:t xml:space="preserve">f </w:t>
      </w:r>
      <w:r>
        <w:rPr>
          <w:color w:val="000000" w:themeColor="text1"/>
        </w:rPr>
        <w:t>made aware that</w:t>
      </w:r>
      <w:r w:rsidRPr="00C23B16">
        <w:rPr>
          <w:color w:val="000000" w:themeColor="text1"/>
        </w:rPr>
        <w:t xml:space="preserve"> </w:t>
      </w:r>
      <w:r>
        <w:rPr>
          <w:color w:val="000000" w:themeColor="text1"/>
        </w:rPr>
        <w:t xml:space="preserve">a </w:t>
      </w:r>
      <w:r w:rsidRPr="00C23B16">
        <w:rPr>
          <w:color w:val="000000" w:themeColor="text1"/>
        </w:rPr>
        <w:t>learner feel</w:t>
      </w:r>
      <w:r>
        <w:rPr>
          <w:color w:val="000000" w:themeColor="text1"/>
        </w:rPr>
        <w:t>s</w:t>
      </w:r>
      <w:r w:rsidRPr="00C23B16">
        <w:rPr>
          <w:color w:val="000000" w:themeColor="text1"/>
        </w:rPr>
        <w:t xml:space="preserve"> unwell</w:t>
      </w:r>
      <w:r>
        <w:rPr>
          <w:color w:val="000000" w:themeColor="text1"/>
        </w:rPr>
        <w:t>. They should alwa</w:t>
      </w:r>
      <w:r w:rsidRPr="00C23B16">
        <w:rPr>
          <w:color w:val="000000" w:themeColor="text1"/>
        </w:rPr>
        <w:t xml:space="preserve">ys seek guidance when considering </w:t>
      </w:r>
      <w:r>
        <w:rPr>
          <w:color w:val="000000" w:themeColor="text1"/>
        </w:rPr>
        <w:t>how participation in</w:t>
      </w:r>
      <w:r w:rsidRPr="00C23B16">
        <w:rPr>
          <w:color w:val="000000" w:themeColor="text1"/>
        </w:rPr>
        <w:t xml:space="preserve"> </w:t>
      </w:r>
      <w:r>
        <w:rPr>
          <w:color w:val="000000" w:themeColor="text1"/>
        </w:rPr>
        <w:t xml:space="preserve">sporting or other </w:t>
      </w:r>
      <w:r w:rsidRPr="00C23B16">
        <w:rPr>
          <w:color w:val="000000" w:themeColor="text1"/>
        </w:rPr>
        <w:t>activit</w:t>
      </w:r>
      <w:r>
        <w:rPr>
          <w:color w:val="000000" w:themeColor="text1"/>
        </w:rPr>
        <w:t>ies may affect learners with healthcare needs</w:t>
      </w:r>
      <w:r w:rsidRPr="00C23B16">
        <w:rPr>
          <w:color w:val="000000" w:themeColor="text1"/>
        </w:rPr>
        <w:t>.</w:t>
      </w:r>
    </w:p>
    <w:p w:rsidR="00DF109B" w:rsidRPr="00C23B16" w:rsidRDefault="00DF109B" w:rsidP="00DF109B">
      <w:pPr>
        <w:pStyle w:val="ListParagraph"/>
        <w:ind w:left="567"/>
        <w:rPr>
          <w:color w:val="000000" w:themeColor="text1"/>
        </w:rPr>
      </w:pPr>
      <w:r w:rsidRPr="00C23B16">
        <w:rPr>
          <w:color w:val="000000" w:themeColor="text1"/>
        </w:rPr>
        <w:t xml:space="preserve">  </w:t>
      </w:r>
    </w:p>
    <w:p w:rsidR="00DF109B" w:rsidRDefault="00DF109B" w:rsidP="00DF109B">
      <w:pPr>
        <w:pStyle w:val="ListParagraph"/>
        <w:ind w:left="567"/>
        <w:rPr>
          <w:color w:val="000000" w:themeColor="text1"/>
        </w:rPr>
      </w:pPr>
      <w:r w:rsidRPr="00C23B16">
        <w:rPr>
          <w:color w:val="000000" w:themeColor="text1"/>
        </w:rPr>
        <w:t xml:space="preserve">Separate ‘special provisions’ for particular activities should be avoided, with an emphasis instead on activities made accessible for all. Where this </w:t>
      </w:r>
      <w:r>
        <w:rPr>
          <w:color w:val="000000" w:themeColor="text1"/>
        </w:rPr>
        <w:t>might</w:t>
      </w:r>
      <w:r w:rsidRPr="00C23B16">
        <w:rPr>
          <w:color w:val="000000" w:themeColor="text1"/>
        </w:rPr>
        <w:t xml:space="preserve"> not be possible, advice from healthcare</w:t>
      </w:r>
      <w:r>
        <w:rPr>
          <w:color w:val="000000" w:themeColor="text1"/>
        </w:rPr>
        <w:t xml:space="preserve"> or</w:t>
      </w:r>
      <w:r w:rsidRPr="00C23B16">
        <w:rPr>
          <w:color w:val="000000" w:themeColor="text1"/>
        </w:rPr>
        <w:t xml:space="preserve"> </w:t>
      </w:r>
      <w:r>
        <w:rPr>
          <w:color w:val="000000" w:themeColor="text1"/>
        </w:rPr>
        <w:t>physical education</w:t>
      </w:r>
      <w:r w:rsidRPr="00C23B16">
        <w:rPr>
          <w:color w:val="000000" w:themeColor="text1"/>
        </w:rPr>
        <w:t xml:space="preserve"> professionals and the learner should be sought.</w:t>
      </w:r>
    </w:p>
    <w:p w:rsidR="00DF109B" w:rsidRPr="00C23B16" w:rsidRDefault="00DF109B" w:rsidP="00DF109B">
      <w:pPr>
        <w:pStyle w:val="ListParagraph"/>
        <w:ind w:left="567"/>
        <w:rPr>
          <w:color w:val="000000" w:themeColor="text1"/>
        </w:rPr>
      </w:pPr>
    </w:p>
    <w:p w:rsidR="00DF109B" w:rsidRDefault="00DF109B" w:rsidP="00DF109B">
      <w:pPr>
        <w:pStyle w:val="ListParagraph"/>
        <w:ind w:left="567"/>
        <w:rPr>
          <w:color w:val="000000" w:themeColor="text1"/>
        </w:rPr>
      </w:pPr>
      <w:r w:rsidRPr="00C23B16">
        <w:rPr>
          <w:color w:val="000000" w:themeColor="text1"/>
        </w:rPr>
        <w:t>Staff should also understand that</w:t>
      </w:r>
      <w:r>
        <w:rPr>
          <w:color w:val="000000" w:themeColor="text1"/>
        </w:rPr>
        <w:t xml:space="preserve"> </w:t>
      </w:r>
      <w:r w:rsidRPr="00C23B16">
        <w:rPr>
          <w:color w:val="000000" w:themeColor="text1"/>
        </w:rPr>
        <w:t>it may be appropriate for some learners with healthcare needs</w:t>
      </w:r>
      <w:r>
        <w:rPr>
          <w:color w:val="000000" w:themeColor="text1"/>
        </w:rPr>
        <w:t xml:space="preserve"> </w:t>
      </w:r>
      <w:r w:rsidRPr="00C23B16">
        <w:rPr>
          <w:color w:val="000000" w:themeColor="text1"/>
        </w:rPr>
        <w:t xml:space="preserve">to have medication or food </w:t>
      </w:r>
      <w:r>
        <w:rPr>
          <w:color w:val="000000" w:themeColor="text1"/>
        </w:rPr>
        <w:t>with them</w:t>
      </w:r>
      <w:r w:rsidRPr="00C23B16">
        <w:rPr>
          <w:color w:val="000000" w:themeColor="text1"/>
        </w:rPr>
        <w:t xml:space="preserve"> during physical activity</w:t>
      </w:r>
      <w:r>
        <w:rPr>
          <w:color w:val="000000" w:themeColor="text1"/>
        </w:rPr>
        <w:t>; such</w:t>
      </w:r>
      <w:r w:rsidRPr="00C23B16">
        <w:rPr>
          <w:color w:val="000000" w:themeColor="text1"/>
        </w:rPr>
        <w:t xml:space="preserve"> learners should be encouraged to take the</w:t>
      </w:r>
      <w:r>
        <w:rPr>
          <w:color w:val="000000" w:themeColor="text1"/>
        </w:rPr>
        <w:t xml:space="preserve"> medication or food</w:t>
      </w:r>
      <w:r w:rsidRPr="00C23B16">
        <w:rPr>
          <w:color w:val="000000" w:themeColor="text1"/>
        </w:rPr>
        <w:t xml:space="preserve"> when needed.</w:t>
      </w:r>
    </w:p>
    <w:p w:rsidR="00DF109B" w:rsidRPr="00C574CB" w:rsidRDefault="00DF109B" w:rsidP="00DF109B">
      <w:pPr>
        <w:pStyle w:val="ListParagraph"/>
        <w:ind w:left="567"/>
      </w:pP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Food management</w:t>
      </w:r>
    </w:p>
    <w:p w:rsidR="00DF109B" w:rsidRDefault="00DF109B" w:rsidP="00DF109B">
      <w:pPr>
        <w:pStyle w:val="ListParagraph"/>
        <w:ind w:left="567"/>
        <w:rPr>
          <w:color w:val="000000" w:themeColor="text1"/>
        </w:rPr>
      </w:pPr>
      <w:r>
        <w:rPr>
          <w:color w:val="000000" w:themeColor="text1"/>
        </w:rPr>
        <w:t>Where food is provided by or through the education setting, c</w:t>
      </w:r>
      <w:r w:rsidRPr="00C23B16">
        <w:rPr>
          <w:color w:val="000000" w:themeColor="text1"/>
        </w:rPr>
        <w:t>onsideration must be given to dietary needs of learners</w:t>
      </w:r>
      <w:r>
        <w:rPr>
          <w:color w:val="000000" w:themeColor="text1"/>
        </w:rPr>
        <w:t xml:space="preserve">, e.g. those who have </w:t>
      </w:r>
      <w:r w:rsidRPr="000224A1">
        <w:rPr>
          <w:color w:val="000000" w:themeColor="text1"/>
        </w:rPr>
        <w:t xml:space="preserve">diabetes, </w:t>
      </w:r>
      <w:r w:rsidRPr="00C23B16">
        <w:rPr>
          <w:color w:val="000000" w:themeColor="text1"/>
        </w:rPr>
        <w:t>coeliac disease</w:t>
      </w:r>
      <w:r>
        <w:rPr>
          <w:color w:val="000000" w:themeColor="text1"/>
        </w:rPr>
        <w:t xml:space="preserve">, </w:t>
      </w:r>
      <w:r w:rsidRPr="006154ED">
        <w:rPr>
          <w:color w:val="000000" w:themeColor="text1"/>
        </w:rPr>
        <w:t>allergies and intolerances</w:t>
      </w:r>
      <w:r w:rsidRPr="00C23B16">
        <w:rPr>
          <w:color w:val="000000" w:themeColor="text1"/>
        </w:rPr>
        <w:t xml:space="preserve">. </w:t>
      </w:r>
    </w:p>
    <w:p w:rsidR="00DF109B" w:rsidRPr="00C23B16" w:rsidRDefault="00DF109B" w:rsidP="00DF109B">
      <w:pPr>
        <w:pStyle w:val="ListParagraph"/>
        <w:ind w:left="567"/>
        <w:rPr>
          <w:color w:val="000000" w:themeColor="text1"/>
        </w:rPr>
      </w:pPr>
      <w:r w:rsidRPr="00C23B16">
        <w:rPr>
          <w:color w:val="000000" w:themeColor="text1"/>
        </w:rPr>
        <w:t xml:space="preserve"> </w:t>
      </w:r>
    </w:p>
    <w:p w:rsidR="00DF109B" w:rsidRPr="00C23B16" w:rsidRDefault="00DF109B" w:rsidP="00DF109B">
      <w:pPr>
        <w:pStyle w:val="ListParagraph"/>
        <w:ind w:left="567"/>
        <w:rPr>
          <w:color w:val="000000" w:themeColor="text1"/>
        </w:rPr>
      </w:pPr>
      <w:r>
        <w:rPr>
          <w:color w:val="000000" w:themeColor="text1"/>
        </w:rPr>
        <w:t xml:space="preserve">Where a </w:t>
      </w:r>
      <w:r w:rsidRPr="00C23B16">
        <w:rPr>
          <w:color w:val="000000" w:themeColor="text1"/>
        </w:rPr>
        <w:t xml:space="preserve">need occurs, </w:t>
      </w:r>
      <w:r>
        <w:rPr>
          <w:color w:val="000000" w:themeColor="text1"/>
        </w:rPr>
        <w:t>education settings</w:t>
      </w:r>
      <w:r w:rsidRPr="00C23B16">
        <w:rPr>
          <w:color w:val="000000" w:themeColor="text1"/>
        </w:rPr>
        <w:t xml:space="preserve"> should in advance provide menus to parents</w:t>
      </w:r>
      <w:r>
        <w:rPr>
          <w:color w:val="000000" w:themeColor="text1"/>
        </w:rPr>
        <w:t xml:space="preserve"> and learners</w:t>
      </w:r>
      <w:r w:rsidRPr="00C23B16">
        <w:rPr>
          <w:color w:val="000000" w:themeColor="text1"/>
        </w:rPr>
        <w:t>, with complete lists of ingredients and nutritional information. Gluten and other intolerances or all</w:t>
      </w:r>
      <w:r w:rsidRPr="00E91356">
        <w:rPr>
          <w:color w:val="000000" w:themeColor="text1"/>
        </w:rPr>
        <w:t xml:space="preserve">ergens must be clearly marked. Providing information will help facilitate </w:t>
      </w:r>
      <w:r>
        <w:rPr>
          <w:color w:val="000000" w:themeColor="text1"/>
        </w:rPr>
        <w:t xml:space="preserve">parent and </w:t>
      </w:r>
      <w:r w:rsidRPr="0053109D">
        <w:rPr>
          <w:color w:val="000000" w:themeColor="text1"/>
        </w:rPr>
        <w:t>catering teams</w:t>
      </w:r>
      <w:r>
        <w:rPr>
          <w:color w:val="000000" w:themeColor="text1"/>
        </w:rPr>
        <w:t xml:space="preserve">’ </w:t>
      </w:r>
      <w:r w:rsidRPr="00C23B16">
        <w:rPr>
          <w:color w:val="000000" w:themeColor="text1"/>
        </w:rPr>
        <w:t>collaborative working</w:t>
      </w:r>
      <w:r>
        <w:rPr>
          <w:color w:val="000000" w:themeColor="text1"/>
        </w:rPr>
        <w:t xml:space="preserve">. This is especially important when </w:t>
      </w:r>
      <w:r w:rsidRPr="00C23B16">
        <w:rPr>
          <w:color w:val="000000" w:themeColor="text1"/>
        </w:rPr>
        <w:t>carbohydrate counting is required.</w:t>
      </w:r>
    </w:p>
    <w:p w:rsidR="00DF109B" w:rsidRDefault="00DF109B" w:rsidP="00DF109B">
      <w:pPr>
        <w:pStyle w:val="ListParagraph"/>
        <w:ind w:left="567"/>
        <w:rPr>
          <w:color w:val="000000" w:themeColor="text1"/>
        </w:rPr>
      </w:pPr>
    </w:p>
    <w:p w:rsidR="00DF109B" w:rsidRDefault="00DF109B" w:rsidP="00DF109B">
      <w:pPr>
        <w:pStyle w:val="ListParagraph"/>
        <w:ind w:left="567"/>
        <w:rPr>
          <w:color w:val="000000" w:themeColor="text1"/>
        </w:rPr>
      </w:pPr>
      <w:r>
        <w:rPr>
          <w:color w:val="000000" w:themeColor="text1"/>
        </w:rPr>
        <w:t>Consideration</w:t>
      </w:r>
      <w:r w:rsidRPr="00C23B16">
        <w:rPr>
          <w:color w:val="000000" w:themeColor="text1"/>
        </w:rPr>
        <w:t xml:space="preserve"> should </w:t>
      </w:r>
      <w:r>
        <w:rPr>
          <w:color w:val="000000" w:themeColor="text1"/>
        </w:rPr>
        <w:t>be given to availability of snacks. S</w:t>
      </w:r>
      <w:r w:rsidRPr="00C23B16">
        <w:rPr>
          <w:color w:val="000000" w:themeColor="text1"/>
        </w:rPr>
        <w:t>ugar and gluten</w:t>
      </w:r>
      <w:r>
        <w:rPr>
          <w:color w:val="000000" w:themeColor="text1"/>
        </w:rPr>
        <w:t>-</w:t>
      </w:r>
      <w:r w:rsidRPr="00C23B16">
        <w:rPr>
          <w:color w:val="000000" w:themeColor="text1"/>
        </w:rPr>
        <w:t xml:space="preserve">free alternatives should always be made available. </w:t>
      </w:r>
      <w:r>
        <w:rPr>
          <w:color w:val="000000" w:themeColor="text1"/>
        </w:rPr>
        <w:t xml:space="preserve">As some conditions require </w:t>
      </w:r>
      <w:r w:rsidRPr="00C23B16">
        <w:rPr>
          <w:color w:val="000000" w:themeColor="text1"/>
        </w:rPr>
        <w:t>high calori</w:t>
      </w:r>
      <w:r>
        <w:rPr>
          <w:color w:val="000000" w:themeColor="text1"/>
        </w:rPr>
        <w:t>fic</w:t>
      </w:r>
      <w:r w:rsidRPr="00C23B16">
        <w:rPr>
          <w:color w:val="000000" w:themeColor="text1"/>
        </w:rPr>
        <w:t xml:space="preserve"> intake</w:t>
      </w:r>
      <w:r>
        <w:rPr>
          <w:color w:val="000000" w:themeColor="text1"/>
        </w:rPr>
        <w:t xml:space="preserve">, there should always be access to </w:t>
      </w:r>
      <w:r w:rsidRPr="00C23B16">
        <w:rPr>
          <w:color w:val="000000" w:themeColor="text1"/>
        </w:rPr>
        <w:t>glucose-rich food and drinks</w:t>
      </w:r>
      <w:r>
        <w:rPr>
          <w:color w:val="000000" w:themeColor="text1"/>
        </w:rPr>
        <w:t>.</w:t>
      </w:r>
      <w:r w:rsidRPr="00C23B16" w:rsidDel="00B21F6C">
        <w:rPr>
          <w:color w:val="000000" w:themeColor="text1"/>
        </w:rPr>
        <w:t xml:space="preserve"> </w:t>
      </w:r>
    </w:p>
    <w:p w:rsidR="00DF109B" w:rsidRDefault="00DF109B" w:rsidP="00DF109B">
      <w:pPr>
        <w:pStyle w:val="ListParagraph"/>
        <w:ind w:left="567"/>
        <w:rPr>
          <w:color w:val="000000" w:themeColor="text1"/>
        </w:rPr>
      </w:pPr>
    </w:p>
    <w:p w:rsidR="00DF109B" w:rsidRDefault="00DF109B" w:rsidP="00DF109B">
      <w:pPr>
        <w:pStyle w:val="ListParagraph"/>
        <w:ind w:left="567"/>
        <w:rPr>
          <w:color w:val="000000" w:themeColor="text1"/>
        </w:rPr>
      </w:pPr>
      <w:r w:rsidRPr="00C23B16">
        <w:rPr>
          <w:color w:val="000000" w:themeColor="text1"/>
        </w:rPr>
        <w:t xml:space="preserve">Food provided for trips must reflect the dietary and treatment needs of the learners taking part. Food provided for snacks in classroom settings should also take the dietary and treatment needs of these learners into account. While healthy school and ‘no sweets’ policies are recognised as important, learners with healthcare needs may need to be exempted from these policies. Learners needing to eat or drink as part of their </w:t>
      </w:r>
      <w:r>
        <w:rPr>
          <w:color w:val="000000" w:themeColor="text1"/>
        </w:rPr>
        <w:t>condition should not be excluded from the classroom or</w:t>
      </w:r>
      <w:r w:rsidRPr="00C23B16">
        <w:rPr>
          <w:color w:val="000000" w:themeColor="text1"/>
        </w:rPr>
        <w:t xml:space="preserve"> put in isolation.</w:t>
      </w:r>
    </w:p>
    <w:p w:rsidR="00DF109B" w:rsidRPr="00C23B16" w:rsidRDefault="00DF109B" w:rsidP="00DF109B">
      <w:pPr>
        <w:pStyle w:val="ListParagraph"/>
        <w:ind w:left="567"/>
        <w:rPr>
          <w:color w:val="000000" w:themeColor="text1"/>
        </w:rPr>
      </w:pPr>
      <w:r w:rsidRPr="00C23B16" w:rsidDel="00D10EF0">
        <w:rPr>
          <w:color w:val="000000" w:themeColor="text1"/>
        </w:rPr>
        <w:t xml:space="preserve"> </w:t>
      </w:r>
    </w:p>
    <w:p w:rsidR="00DF109B" w:rsidRPr="00C23B16" w:rsidRDefault="00DF109B" w:rsidP="00DF109B">
      <w:pPr>
        <w:pStyle w:val="ListParagraph"/>
        <w:numPr>
          <w:ilvl w:val="0"/>
          <w:numId w:val="10"/>
        </w:numPr>
        <w:spacing w:after="60" w:line="264" w:lineRule="auto"/>
        <w:ind w:left="567" w:hanging="567"/>
        <w:contextualSpacing w:val="0"/>
        <w:rPr>
          <w:b/>
          <w:color w:val="000000" w:themeColor="text1"/>
        </w:rPr>
      </w:pPr>
      <w:r w:rsidRPr="00C23B16">
        <w:rPr>
          <w:b/>
          <w:color w:val="000000" w:themeColor="text1"/>
        </w:rPr>
        <w:t xml:space="preserve">Risk </w:t>
      </w:r>
      <w:r>
        <w:rPr>
          <w:b/>
          <w:color w:val="000000" w:themeColor="text1"/>
        </w:rPr>
        <w:t>a</w:t>
      </w:r>
      <w:r w:rsidRPr="00C23B16">
        <w:rPr>
          <w:b/>
          <w:color w:val="000000" w:themeColor="text1"/>
        </w:rPr>
        <w:t>ssessments</w:t>
      </w:r>
    </w:p>
    <w:p w:rsidR="00DF109B" w:rsidRPr="00C23B16" w:rsidRDefault="00DF109B" w:rsidP="00DF109B">
      <w:pPr>
        <w:pStyle w:val="ListParagraph"/>
        <w:ind w:left="567"/>
        <w:rPr>
          <w:color w:val="000000" w:themeColor="text1"/>
        </w:rPr>
      </w:pPr>
      <w:r w:rsidRPr="00C23B16">
        <w:rPr>
          <w:color w:val="000000" w:themeColor="text1"/>
        </w:rPr>
        <w:t xml:space="preserve">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rsidR="00DF109B" w:rsidRDefault="00DF109B" w:rsidP="00DF109B">
      <w:pPr>
        <w:pStyle w:val="ListParagraph"/>
        <w:ind w:left="567"/>
        <w:rPr>
          <w:color w:val="000000" w:themeColor="text1"/>
        </w:rPr>
      </w:pPr>
    </w:p>
    <w:p w:rsidR="00DF109B" w:rsidRDefault="00DF109B" w:rsidP="00DF109B">
      <w:pPr>
        <w:rPr>
          <w:color w:val="FF0000"/>
        </w:rPr>
      </w:pPr>
      <w:r w:rsidRPr="00C23B16">
        <w:rPr>
          <w:color w:val="000000" w:themeColor="text1"/>
        </w:rPr>
        <w:t>In addition, there are duties under the Equality Act 2010 to prepare and implement accessibility strategies and plans</w:t>
      </w:r>
      <w:r w:rsidRPr="00C23B16">
        <w:rPr>
          <w:rStyle w:val="FootnoteReference"/>
          <w:color w:val="000000" w:themeColor="text1"/>
        </w:rPr>
        <w:footnoteReference w:id="9"/>
      </w:r>
      <w:r w:rsidRPr="00C23B16">
        <w:rPr>
          <w:color w:val="000000" w:themeColor="text1"/>
        </w:rPr>
        <w:t xml:space="preserve">. These strategies and plans deal with matters related to increasing participation by disabled learners. They are described in more detail in </w:t>
      </w:r>
      <w:r>
        <w:rPr>
          <w:color w:val="000000" w:themeColor="text1"/>
        </w:rPr>
        <w:t>‘</w:t>
      </w:r>
      <w:r w:rsidRPr="00CA7C86">
        <w:rPr>
          <w:color w:val="FF0000"/>
        </w:rPr>
        <w:t>Annex 1: Outline of legal framework’ on page 28.</w:t>
      </w:r>
    </w:p>
    <w:p w:rsidR="00CA7C86" w:rsidRDefault="00CA7C86" w:rsidP="00DF109B">
      <w:pPr>
        <w:rPr>
          <w:color w:val="FF0000"/>
        </w:rPr>
      </w:pPr>
    </w:p>
    <w:p w:rsidR="00CA7C86" w:rsidRDefault="00CA7C86" w:rsidP="00DF109B">
      <w:pPr>
        <w:rPr>
          <w:u w:val="single"/>
        </w:rPr>
      </w:pPr>
      <w:r w:rsidRPr="00CA7C86">
        <w:rPr>
          <w:u w:val="single"/>
        </w:rPr>
        <w:t xml:space="preserve">Local Authority </w:t>
      </w:r>
    </w:p>
    <w:p w:rsidR="00CA7C86" w:rsidRDefault="00CA7C86" w:rsidP="00DF109B">
      <w:pPr>
        <w:rPr>
          <w:u w:val="single"/>
        </w:rPr>
      </w:pPr>
    </w:p>
    <w:p w:rsidR="00CA7C86" w:rsidRDefault="00CA7C86" w:rsidP="00CA7C86">
      <w:pPr>
        <w:pStyle w:val="Heading3"/>
        <w:keepNext w:val="0"/>
        <w:keepLines w:val="0"/>
        <w:numPr>
          <w:ilvl w:val="0"/>
          <w:numId w:val="11"/>
        </w:numPr>
        <w:spacing w:before="0"/>
        <w:ind w:left="567" w:hanging="567"/>
        <w:rPr>
          <w:rFonts w:ascii="Arial" w:hAnsi="Arial" w:cs="Arial"/>
          <w:color w:val="000000" w:themeColor="text1"/>
        </w:rPr>
      </w:pPr>
      <w:r w:rsidRPr="00E11B07">
        <w:rPr>
          <w:rFonts w:ascii="Arial" w:hAnsi="Arial" w:cs="Arial"/>
          <w:color w:val="000000" w:themeColor="text1"/>
        </w:rPr>
        <w:t>Local authorities</w:t>
      </w:r>
    </w:p>
    <w:p w:rsidR="00CA7C86" w:rsidRPr="001C2A5E" w:rsidRDefault="00CA7C86" w:rsidP="00CA7C86">
      <w:r w:rsidRPr="001C2A5E">
        <w:t>Local authorities</w:t>
      </w:r>
      <w:r>
        <w:t xml:space="preserve"> should ensure education provision is available to learners, and</w:t>
      </w:r>
      <w:r w:rsidRPr="001C2A5E">
        <w:t>:</w:t>
      </w:r>
    </w:p>
    <w:p w:rsidR="00CA7C86" w:rsidRPr="001C2A5E" w:rsidRDefault="00CA7C86" w:rsidP="00CA7C86"/>
    <w:p w:rsidR="00CA7C86" w:rsidRDefault="00CA7C86" w:rsidP="00CA7C86">
      <w:pPr>
        <w:pStyle w:val="ListParagraph"/>
        <w:numPr>
          <w:ilvl w:val="0"/>
          <w:numId w:val="10"/>
        </w:numPr>
        <w:ind w:left="567" w:hanging="567"/>
        <w:contextualSpacing w:val="0"/>
        <w:rPr>
          <w:color w:val="000000" w:themeColor="text1"/>
        </w:rPr>
      </w:pPr>
      <w:proofErr w:type="gramStart"/>
      <w:r w:rsidRPr="00F15934">
        <w:rPr>
          <w:color w:val="000000" w:themeColor="text1"/>
        </w:rPr>
        <w:t>must</w:t>
      </w:r>
      <w:proofErr w:type="gramEnd"/>
      <w:r w:rsidRPr="00F15934">
        <w:rPr>
          <w:color w:val="000000" w:themeColor="text1"/>
        </w:rPr>
        <w:t xml:space="preserve"> make reasonable adjustments to ensure disabled children and young people are not at a substantial disadvantage compared with their peers. This duty is anticipatory. For example, learners should not be disadvantaged when leaving primary school and beginning secondary school. In practical terms this means adjustments must be planned and implemented in advance to prevent any disadvantage. Discussions around the responsibility for provision should not impact </w:t>
      </w:r>
      <w:r>
        <w:rPr>
          <w:color w:val="000000" w:themeColor="text1"/>
        </w:rPr>
        <w:t xml:space="preserve">on </w:t>
      </w:r>
      <w:r w:rsidRPr="00F15934">
        <w:rPr>
          <w:color w:val="000000" w:themeColor="text1"/>
        </w:rPr>
        <w:t xml:space="preserve">the delivery of service, as delays could be detrimental to the education and </w:t>
      </w:r>
    </w:p>
    <w:p w:rsidR="00CA7C86" w:rsidRPr="00C53C90" w:rsidRDefault="00CA7C86" w:rsidP="00CA7C86">
      <w:pPr>
        <w:pStyle w:val="ListParagraph"/>
        <w:ind w:left="567"/>
        <w:contextualSpacing w:val="0"/>
        <w:rPr>
          <w:color w:val="000000" w:themeColor="text1"/>
        </w:rPr>
      </w:pPr>
      <w:proofErr w:type="gramStart"/>
      <w:r w:rsidRPr="00F15934">
        <w:rPr>
          <w:color w:val="000000" w:themeColor="text1"/>
        </w:rPr>
        <w:t>well-being</w:t>
      </w:r>
      <w:proofErr w:type="gramEnd"/>
      <w:r w:rsidRPr="00F15934">
        <w:rPr>
          <w:color w:val="000000" w:themeColor="text1"/>
        </w:rPr>
        <w:t xml:space="preserve"> of the learner </w:t>
      </w:r>
    </w:p>
    <w:p w:rsidR="00CA7C86" w:rsidRPr="005A7DF5" w:rsidRDefault="00CA7C86" w:rsidP="00CA7C86">
      <w:pPr>
        <w:pStyle w:val="ListParagraph"/>
        <w:numPr>
          <w:ilvl w:val="0"/>
          <w:numId w:val="10"/>
        </w:numPr>
        <w:ind w:left="567" w:hanging="567"/>
        <w:contextualSpacing w:val="0"/>
        <w:rPr>
          <w:color w:val="000000" w:themeColor="text1"/>
        </w:rPr>
      </w:pPr>
      <w:proofErr w:type="gramStart"/>
      <w:r w:rsidRPr="005B335C">
        <w:rPr>
          <w:color w:val="000000" w:themeColor="text1"/>
        </w:rPr>
        <w:t>must</w:t>
      </w:r>
      <w:proofErr w:type="gramEnd"/>
      <w:r w:rsidRPr="005B335C">
        <w:rPr>
          <w:color w:val="000000" w:themeColor="text1"/>
        </w:rPr>
        <w:t xml:space="preserve"> make arrangements to promote cooperation between various bodies or persons, with a view to improving, among other things, the well-being of children in relation to their physical and mental health, their education, training and recreation</w:t>
      </w:r>
      <w:r w:rsidRPr="001C2A5E">
        <w:rPr>
          <w:vertAlign w:val="superscript"/>
        </w:rPr>
        <w:footnoteReference w:id="10"/>
      </w:r>
      <w:r w:rsidRPr="005B335C">
        <w:rPr>
          <w:color w:val="000000" w:themeColor="text1"/>
        </w:rPr>
        <w:t xml:space="preserve">. When making these arrangements, local authorities should ensure appropriate agreements are in place for data sharing. This could be through working within the Wales Accord on Sharing Personal Information (WASPI) Information Sharing Protocols or Data Disclosure Agreements. Local authorities and health boards have WASPI </w:t>
      </w:r>
      <w:r>
        <w:rPr>
          <w:color w:val="000000" w:themeColor="text1"/>
        </w:rPr>
        <w:t>c</w:t>
      </w:r>
      <w:r w:rsidRPr="005B335C">
        <w:rPr>
          <w:color w:val="000000" w:themeColor="text1"/>
        </w:rPr>
        <w:t xml:space="preserve">oordinators who can support service providers to develop appropriate agreements </w:t>
      </w:r>
    </w:p>
    <w:p w:rsidR="00CA7C86" w:rsidRPr="00C23B16" w:rsidRDefault="00CA7C86" w:rsidP="00CA7C86">
      <w:pPr>
        <w:pStyle w:val="ListParagraph"/>
        <w:numPr>
          <w:ilvl w:val="0"/>
          <w:numId w:val="10"/>
        </w:numPr>
        <w:ind w:left="567" w:hanging="567"/>
        <w:contextualSpacing w:val="0"/>
        <w:rPr>
          <w:color w:val="000000" w:themeColor="text1"/>
        </w:rPr>
      </w:pPr>
      <w:proofErr w:type="gramStart"/>
      <w:r>
        <w:rPr>
          <w:color w:val="000000" w:themeColor="text1"/>
        </w:rPr>
        <w:t>must</w:t>
      </w:r>
      <w:proofErr w:type="gramEnd"/>
      <w:r w:rsidRPr="00C44013">
        <w:rPr>
          <w:color w:val="000000" w:themeColor="text1"/>
        </w:rPr>
        <w:t xml:space="preserve"> make reasonable provision of counselling services for young people aged </w:t>
      </w:r>
      <w:r>
        <w:rPr>
          <w:color w:val="000000" w:themeColor="text1"/>
        </w:rPr>
        <w:t>11‒</w:t>
      </w:r>
      <w:r w:rsidRPr="00C44013">
        <w:rPr>
          <w:color w:val="000000" w:themeColor="text1"/>
        </w:rPr>
        <w:t xml:space="preserve">18 and </w:t>
      </w:r>
      <w:r>
        <w:rPr>
          <w:color w:val="000000" w:themeColor="text1"/>
        </w:rPr>
        <w:t>learners</w:t>
      </w:r>
      <w:r w:rsidRPr="00C44013">
        <w:rPr>
          <w:color w:val="000000" w:themeColor="text1"/>
        </w:rPr>
        <w:t xml:space="preserve"> in </w:t>
      </w:r>
      <w:r>
        <w:rPr>
          <w:color w:val="000000" w:themeColor="text1"/>
        </w:rPr>
        <w:t>Y</w:t>
      </w:r>
      <w:r w:rsidRPr="00C44013">
        <w:rPr>
          <w:color w:val="000000" w:themeColor="text1"/>
        </w:rPr>
        <w:t>ear 6 of primary school</w:t>
      </w:r>
      <w:r w:rsidRPr="001C2A5E">
        <w:rPr>
          <w:vertAlign w:val="superscript"/>
        </w:rPr>
        <w:footnoteReference w:id="11"/>
      </w:r>
      <w:r w:rsidRPr="00C44013">
        <w:rPr>
          <w:color w:val="000000" w:themeColor="text1"/>
        </w:rPr>
        <w:t xml:space="preserve">. </w:t>
      </w:r>
      <w:r>
        <w:rPr>
          <w:color w:val="000000" w:themeColor="text1"/>
        </w:rPr>
        <w:t>Within schools,</w:t>
      </w:r>
      <w:r w:rsidRPr="00C44013">
        <w:rPr>
          <w:color w:val="000000" w:themeColor="text1"/>
        </w:rPr>
        <w:t xml:space="preserve"> </w:t>
      </w:r>
      <w:r>
        <w:rPr>
          <w:color w:val="000000" w:themeColor="text1"/>
        </w:rPr>
        <w:t xml:space="preserve">this </w:t>
      </w:r>
      <w:r w:rsidRPr="00C44013">
        <w:rPr>
          <w:color w:val="000000" w:themeColor="text1"/>
        </w:rPr>
        <w:t xml:space="preserve">provision </w:t>
      </w:r>
      <w:r>
        <w:rPr>
          <w:color w:val="000000" w:themeColor="text1"/>
        </w:rPr>
        <w:t>should complement</w:t>
      </w:r>
      <w:r w:rsidRPr="008C5441">
        <w:rPr>
          <w:color w:val="000000" w:themeColor="text1"/>
        </w:rPr>
        <w:t xml:space="preserve"> the different approaches already in place to support the health, emotional and social needs of </w:t>
      </w:r>
      <w:r>
        <w:rPr>
          <w:color w:val="000000" w:themeColor="text1"/>
        </w:rPr>
        <w:t>learners</w:t>
      </w:r>
    </w:p>
    <w:p w:rsidR="00CA7C86" w:rsidRDefault="00CA7C86" w:rsidP="00CA7C86">
      <w:pPr>
        <w:pStyle w:val="ListParagraph"/>
        <w:numPr>
          <w:ilvl w:val="0"/>
          <w:numId w:val="10"/>
        </w:numPr>
        <w:ind w:left="567" w:hanging="567"/>
        <w:contextualSpacing w:val="0"/>
        <w:rPr>
          <w:color w:val="000000" w:themeColor="text1"/>
        </w:rPr>
      </w:pPr>
      <w:proofErr w:type="gramStart"/>
      <w:r w:rsidRPr="00F15934">
        <w:rPr>
          <w:color w:val="000000" w:themeColor="text1"/>
        </w:rPr>
        <w:t>should</w:t>
      </w:r>
      <w:proofErr w:type="gramEnd"/>
      <w:r w:rsidRPr="00F15934">
        <w:rPr>
          <w:color w:val="000000" w:themeColor="text1"/>
        </w:rPr>
        <w:t xml:space="preserve"> work with education settings to ensure learners with healthcare needs receive</w:t>
      </w:r>
      <w:r>
        <w:rPr>
          <w:color w:val="000000" w:themeColor="text1"/>
        </w:rPr>
        <w:t xml:space="preserve"> a</w:t>
      </w:r>
      <w:r w:rsidRPr="00F15934">
        <w:rPr>
          <w:color w:val="000000" w:themeColor="text1"/>
        </w:rPr>
        <w:t xml:space="preserve"> suitable education. Where a learner of compulsory school age would not receive a suitable education for any period because of their health, the local authority has a duty to make arrangements to provide suitable education</w:t>
      </w:r>
      <w:r w:rsidRPr="001C2A5E">
        <w:rPr>
          <w:color w:val="000000" w:themeColor="text1"/>
          <w:vertAlign w:val="superscript"/>
        </w:rPr>
        <w:footnoteReference w:id="12"/>
      </w:r>
      <w:r w:rsidRPr="00F15934">
        <w:rPr>
          <w:color w:val="000000" w:themeColor="text1"/>
        </w:rPr>
        <w:t xml:space="preserve">. If a learner is over that </w:t>
      </w:r>
      <w:r w:rsidRPr="0019052A">
        <w:rPr>
          <w:color w:val="000000" w:themeColor="text1"/>
        </w:rPr>
        <w:t xml:space="preserve">compulsory school age </w:t>
      </w:r>
      <w:r w:rsidRPr="00F15934">
        <w:rPr>
          <w:color w:val="000000" w:themeColor="text1"/>
        </w:rPr>
        <w:t xml:space="preserve">but under 18, the local authority may make such arrangements </w:t>
      </w:r>
    </w:p>
    <w:p w:rsidR="00CA7C86" w:rsidRDefault="00CA7C86" w:rsidP="00CA7C86">
      <w:pPr>
        <w:pStyle w:val="ListParagraph"/>
        <w:numPr>
          <w:ilvl w:val="0"/>
          <w:numId w:val="10"/>
        </w:numPr>
        <w:ind w:left="567" w:hanging="567"/>
        <w:contextualSpacing w:val="0"/>
        <w:rPr>
          <w:color w:val="000000" w:themeColor="text1"/>
        </w:rPr>
      </w:pPr>
      <w:r w:rsidRPr="00F15934">
        <w:rPr>
          <w:color w:val="000000" w:themeColor="text1"/>
        </w:rPr>
        <w:t xml:space="preserve">should provide support, advice and guidance, including </w:t>
      </w:r>
      <w:r>
        <w:rPr>
          <w:color w:val="000000" w:themeColor="text1"/>
        </w:rPr>
        <w:t xml:space="preserve">how to </w:t>
      </w:r>
      <w:r w:rsidRPr="00F15934">
        <w:rPr>
          <w:color w:val="000000" w:themeColor="text1"/>
        </w:rPr>
        <w:t xml:space="preserve">meet the training needs of education setting staff, so that governing bodies can ensure the support specified within the individual healthcare plan </w:t>
      </w:r>
      <w:r>
        <w:rPr>
          <w:color w:val="000000" w:themeColor="text1"/>
        </w:rPr>
        <w:t xml:space="preserve">(IHP) (see ‘Section 3: Individual healthcare plans (IHPs)’ on page 23) </w:t>
      </w:r>
      <w:r w:rsidRPr="00F15934">
        <w:rPr>
          <w:color w:val="000000" w:themeColor="text1"/>
        </w:rPr>
        <w:t>can be delivered effectively</w:t>
      </w:r>
      <w:r>
        <w:rPr>
          <w:color w:val="000000" w:themeColor="text1"/>
        </w:rPr>
        <w:t>.</w:t>
      </w:r>
      <w:r w:rsidRPr="00F15934">
        <w:rPr>
          <w:color w:val="000000" w:themeColor="text1"/>
        </w:rPr>
        <w:t xml:space="preserve"> </w:t>
      </w:r>
    </w:p>
    <w:p w:rsidR="00CA7C86" w:rsidRPr="00F15934" w:rsidRDefault="00CA7C86" w:rsidP="00CA7C86">
      <w:pPr>
        <w:pStyle w:val="ListParagraph"/>
        <w:ind w:left="567"/>
        <w:contextualSpacing w:val="0"/>
        <w:rPr>
          <w:color w:val="000000" w:themeColor="text1"/>
        </w:rPr>
      </w:pPr>
    </w:p>
    <w:p w:rsidR="00CA7C86" w:rsidRDefault="00CA7C86" w:rsidP="00DF109B">
      <w:pPr>
        <w:rPr>
          <w:u w:val="single"/>
        </w:rPr>
      </w:pPr>
      <w:r>
        <w:rPr>
          <w:u w:val="single"/>
        </w:rPr>
        <w:t xml:space="preserve">NHS Wales school health nursing service, health and other professionals, third sector organisations and other specialist services. </w:t>
      </w:r>
    </w:p>
    <w:p w:rsidR="00CA7C86" w:rsidRDefault="00CA7C86" w:rsidP="00DF109B">
      <w:pPr>
        <w:rPr>
          <w:u w:val="single"/>
        </w:rPr>
      </w:pPr>
    </w:p>
    <w:p w:rsidR="00CA7C86" w:rsidRDefault="00CA7C86" w:rsidP="00CA7C86">
      <w:pPr>
        <w:pStyle w:val="Heading3"/>
        <w:keepNext w:val="0"/>
        <w:keepLines w:val="0"/>
        <w:numPr>
          <w:ilvl w:val="0"/>
          <w:numId w:val="11"/>
        </w:numPr>
        <w:tabs>
          <w:tab w:val="left" w:pos="567"/>
        </w:tabs>
        <w:spacing w:before="0"/>
        <w:ind w:left="0" w:firstLine="0"/>
        <w:rPr>
          <w:rFonts w:ascii="Arial" w:hAnsi="Arial" w:cs="Arial"/>
          <w:color w:val="000000" w:themeColor="text1"/>
        </w:rPr>
      </w:pPr>
      <w:r w:rsidRPr="001C2A5E">
        <w:rPr>
          <w:rFonts w:ascii="Arial" w:hAnsi="Arial" w:cs="Arial"/>
          <w:color w:val="000000" w:themeColor="text1"/>
        </w:rPr>
        <w:t xml:space="preserve">NHS Wales </w:t>
      </w:r>
      <w:r w:rsidRPr="0015272E">
        <w:rPr>
          <w:rFonts w:ascii="Arial" w:hAnsi="Arial" w:cs="Arial"/>
          <w:color w:val="000000" w:themeColor="text1"/>
        </w:rPr>
        <w:t xml:space="preserve">school health nursing service, third sector organisations and other specialist services </w:t>
      </w:r>
    </w:p>
    <w:p w:rsidR="00CA7C86" w:rsidRPr="0015272E" w:rsidRDefault="00CA7C86" w:rsidP="00CA7C86">
      <w:pPr>
        <w:pStyle w:val="Heading3"/>
        <w:rPr>
          <w:rFonts w:ascii="Arial" w:hAnsi="Arial" w:cs="Arial"/>
          <w:color w:val="000000" w:themeColor="text1"/>
        </w:rPr>
      </w:pPr>
      <w:r w:rsidRPr="002517B9">
        <w:rPr>
          <w:rFonts w:ascii="Arial" w:hAnsi="Arial" w:cs="Arial"/>
          <w:b/>
          <w:color w:val="000000" w:themeColor="text1"/>
        </w:rPr>
        <w:t>Healthcare and practical support can be found from a number of organisations. Education settings have access to a health advice service. The scope and type of support the service can offer may include:</w:t>
      </w:r>
    </w:p>
    <w:p w:rsidR="00CA7C86" w:rsidRPr="00882D0F" w:rsidRDefault="00CA7C86" w:rsidP="00CA7C86">
      <w:pPr>
        <w:rPr>
          <w:color w:val="000000" w:themeColor="text1"/>
        </w:rPr>
      </w:pPr>
    </w:p>
    <w:p w:rsidR="00CA7C86" w:rsidRPr="00882D0F" w:rsidRDefault="00CA7C86" w:rsidP="00CA7C86">
      <w:pPr>
        <w:pStyle w:val="ListParagraph"/>
        <w:numPr>
          <w:ilvl w:val="1"/>
          <w:numId w:val="10"/>
        </w:numPr>
        <w:ind w:left="567" w:hanging="567"/>
        <w:contextualSpacing w:val="0"/>
        <w:rPr>
          <w:color w:val="000000" w:themeColor="text1"/>
        </w:rPr>
      </w:pPr>
      <w:r>
        <w:rPr>
          <w:color w:val="000000" w:themeColor="text1"/>
        </w:rPr>
        <w:t>o</w:t>
      </w:r>
      <w:r w:rsidRPr="00882D0F">
        <w:rPr>
          <w:color w:val="000000" w:themeColor="text1"/>
        </w:rPr>
        <w:t xml:space="preserve">ffering advice on the development of </w:t>
      </w:r>
      <w:r>
        <w:rPr>
          <w:color w:val="000000" w:themeColor="text1"/>
        </w:rPr>
        <w:t>IHP</w:t>
      </w:r>
      <w:r w:rsidRPr="00882D0F">
        <w:rPr>
          <w:color w:val="000000" w:themeColor="text1"/>
        </w:rPr>
        <w:t>s</w:t>
      </w:r>
    </w:p>
    <w:p w:rsidR="00CA7C86" w:rsidRPr="00882D0F" w:rsidRDefault="00CA7C86" w:rsidP="00CA7C86">
      <w:pPr>
        <w:pStyle w:val="ListParagraph"/>
        <w:numPr>
          <w:ilvl w:val="1"/>
          <w:numId w:val="10"/>
        </w:numPr>
        <w:ind w:left="567" w:hanging="567"/>
        <w:contextualSpacing w:val="0"/>
        <w:rPr>
          <w:color w:val="000000" w:themeColor="text1"/>
        </w:rPr>
      </w:pPr>
      <w:r>
        <w:rPr>
          <w:color w:val="000000" w:themeColor="text1"/>
        </w:rPr>
        <w:t>a</w:t>
      </w:r>
      <w:r w:rsidRPr="00882D0F">
        <w:rPr>
          <w:color w:val="000000" w:themeColor="text1"/>
        </w:rPr>
        <w:t xml:space="preserve">ssisting in the identification of the training required for the education setting to successfully implement </w:t>
      </w:r>
      <w:r>
        <w:rPr>
          <w:color w:val="000000" w:themeColor="text1"/>
        </w:rPr>
        <w:t>IHP</w:t>
      </w:r>
      <w:r w:rsidRPr="00882D0F">
        <w:rPr>
          <w:color w:val="000000" w:themeColor="text1"/>
        </w:rPr>
        <w:t>s</w:t>
      </w:r>
    </w:p>
    <w:p w:rsidR="00CA7C86" w:rsidRDefault="00CA7C86" w:rsidP="00CA7C86">
      <w:pPr>
        <w:pStyle w:val="ListParagraph"/>
        <w:numPr>
          <w:ilvl w:val="1"/>
          <w:numId w:val="10"/>
        </w:numPr>
        <w:ind w:left="567" w:hanging="567"/>
        <w:contextualSpacing w:val="0"/>
        <w:rPr>
          <w:color w:val="000000" w:themeColor="text1"/>
        </w:rPr>
      </w:pPr>
      <w:proofErr w:type="gramStart"/>
      <w:r>
        <w:rPr>
          <w:color w:val="000000" w:themeColor="text1"/>
        </w:rPr>
        <w:t>s</w:t>
      </w:r>
      <w:r w:rsidRPr="00882D0F">
        <w:rPr>
          <w:color w:val="000000" w:themeColor="text1"/>
        </w:rPr>
        <w:t>upporting</w:t>
      </w:r>
      <w:proofErr w:type="gramEnd"/>
      <w:r w:rsidRPr="00882D0F">
        <w:rPr>
          <w:color w:val="000000" w:themeColor="text1"/>
        </w:rPr>
        <w:t xml:space="preserve"> staff to implement a learner’s </w:t>
      </w:r>
      <w:r>
        <w:rPr>
          <w:color w:val="000000" w:themeColor="text1"/>
        </w:rPr>
        <w:t>IHP</w:t>
      </w:r>
      <w:r w:rsidRPr="00882D0F">
        <w:rPr>
          <w:color w:val="000000" w:themeColor="text1"/>
        </w:rPr>
        <w:t xml:space="preserve"> through advice and liaison </w:t>
      </w:r>
      <w:r>
        <w:rPr>
          <w:color w:val="000000" w:themeColor="text1"/>
        </w:rPr>
        <w:t>with</w:t>
      </w:r>
      <w:r w:rsidRPr="00882D0F">
        <w:rPr>
          <w:color w:val="000000" w:themeColor="text1"/>
        </w:rPr>
        <w:t xml:space="preserve"> other healthcare, social care and third sector professionals. </w:t>
      </w:r>
    </w:p>
    <w:p w:rsidR="00CA7C86" w:rsidRPr="00882D0F" w:rsidRDefault="00CA7C86" w:rsidP="00CA7C86">
      <w:pPr>
        <w:pStyle w:val="ListParagraph"/>
        <w:ind w:left="0"/>
        <w:rPr>
          <w:color w:val="000000" w:themeColor="text1"/>
        </w:rPr>
      </w:pPr>
    </w:p>
    <w:p w:rsidR="00CA7C86" w:rsidRDefault="00CA7C86" w:rsidP="00CA7C86">
      <w:pPr>
        <w:rPr>
          <w:color w:val="000000" w:themeColor="text1"/>
        </w:rPr>
      </w:pPr>
      <w:r w:rsidRPr="00882D0F">
        <w:rPr>
          <w:color w:val="000000" w:themeColor="text1"/>
        </w:rPr>
        <w:t xml:space="preserve">Health advice and support can also be provided by specialist health professionals such as </w:t>
      </w:r>
      <w:r>
        <w:rPr>
          <w:color w:val="000000" w:themeColor="text1"/>
        </w:rPr>
        <w:t xml:space="preserve">GPs, paediatricians, </w:t>
      </w:r>
      <w:r w:rsidRPr="00882D0F">
        <w:rPr>
          <w:color w:val="000000" w:themeColor="text1"/>
        </w:rPr>
        <w:t>speech and language therapists,</w:t>
      </w:r>
      <w:r>
        <w:rPr>
          <w:color w:val="000000" w:themeColor="text1"/>
        </w:rPr>
        <w:t xml:space="preserve"> occupational therapists,</w:t>
      </w:r>
      <w:r w:rsidRPr="00882D0F">
        <w:rPr>
          <w:color w:val="000000" w:themeColor="text1"/>
        </w:rPr>
        <w:t xml:space="preserve"> physiotherapists, dieticians and </w:t>
      </w:r>
      <w:r w:rsidRPr="00C23B16">
        <w:rPr>
          <w:color w:val="000000" w:themeColor="text1"/>
        </w:rPr>
        <w:t>diabetes specialist nurses. In addition, third sector voluntary bodies</w:t>
      </w:r>
      <w:r>
        <w:rPr>
          <w:color w:val="000000" w:themeColor="text1"/>
        </w:rPr>
        <w:t xml:space="preserve"> can provide advice and </w:t>
      </w:r>
      <w:r w:rsidRPr="00C23B16">
        <w:rPr>
          <w:color w:val="000000" w:themeColor="text1"/>
        </w:rPr>
        <w:t>practical support</w:t>
      </w:r>
      <w:r>
        <w:rPr>
          <w:color w:val="000000" w:themeColor="text1"/>
        </w:rPr>
        <w:t>.</w:t>
      </w:r>
      <w:r w:rsidRPr="00C23B16">
        <w:rPr>
          <w:color w:val="000000" w:themeColor="text1"/>
        </w:rPr>
        <w:t xml:space="preserve"> </w:t>
      </w:r>
      <w:r>
        <w:rPr>
          <w:color w:val="000000" w:themeColor="text1"/>
        </w:rPr>
        <w:t xml:space="preserve">Proactively engaging with specialist services </w:t>
      </w:r>
      <w:r w:rsidRPr="00C23B16">
        <w:rPr>
          <w:color w:val="000000" w:themeColor="text1"/>
        </w:rPr>
        <w:t xml:space="preserve">can </w:t>
      </w:r>
      <w:r>
        <w:rPr>
          <w:color w:val="000000" w:themeColor="text1"/>
        </w:rPr>
        <w:t>provide practical help when writing and implementing IHPs. They can also provide training and awareness-raising resources, including video links.</w:t>
      </w:r>
    </w:p>
    <w:p w:rsidR="00CA7C86" w:rsidRDefault="00CA7C86" w:rsidP="00CA7C86">
      <w:pPr>
        <w:rPr>
          <w:color w:val="000000" w:themeColor="text1"/>
        </w:rPr>
      </w:pPr>
    </w:p>
    <w:p w:rsidR="00CA7C86" w:rsidRDefault="00CA7C86" w:rsidP="00CA7C86">
      <w:pPr>
        <w:pStyle w:val="ListParagraph"/>
        <w:ind w:left="567"/>
        <w:rPr>
          <w:color w:val="000000" w:themeColor="text1"/>
        </w:rPr>
      </w:pPr>
    </w:p>
    <w:p w:rsidR="00CA7C86" w:rsidRPr="00C23B16" w:rsidRDefault="00CA7C86" w:rsidP="00CA7C86">
      <w:pPr>
        <w:pStyle w:val="Heading2"/>
      </w:pPr>
      <w:bookmarkStart w:id="75" w:name="_Toc426729834"/>
      <w:bookmarkStart w:id="76" w:name="_Toc440373477"/>
      <w:bookmarkStart w:id="77" w:name="_Toc457845459"/>
      <w:bookmarkStart w:id="78" w:name="_Toc457845706"/>
      <w:bookmarkStart w:id="79" w:name="_Toc476002799"/>
      <w:r w:rsidRPr="00C23B16">
        <w:t>Sharing information</w:t>
      </w:r>
      <w:bookmarkEnd w:id="75"/>
      <w:bookmarkEnd w:id="76"/>
      <w:bookmarkEnd w:id="77"/>
      <w:bookmarkEnd w:id="78"/>
      <w:bookmarkEnd w:id="79"/>
    </w:p>
    <w:p w:rsidR="00CA7C86" w:rsidRDefault="00CA7C86" w:rsidP="00CA7C86">
      <w:pPr>
        <w:pStyle w:val="ListParagraph"/>
        <w:ind w:left="0"/>
        <w:rPr>
          <w:color w:val="000000" w:themeColor="text1"/>
        </w:rPr>
      </w:pPr>
    </w:p>
    <w:p w:rsidR="00CA7C86" w:rsidRDefault="00CA7C86" w:rsidP="00CA7C86">
      <w:pPr>
        <w:pStyle w:val="ListParagraph"/>
        <w:ind w:left="0"/>
        <w:rPr>
          <w:color w:val="000000" w:themeColor="text1"/>
        </w:rPr>
      </w:pPr>
      <w:r w:rsidRPr="00C23B16">
        <w:rPr>
          <w:color w:val="000000" w:themeColor="text1"/>
        </w:rPr>
        <w:t>Governing bodies should ensure healthcare needs arrangements</w:t>
      </w:r>
      <w:r>
        <w:rPr>
          <w:color w:val="000000" w:themeColor="text1"/>
        </w:rPr>
        <w:t>,</w:t>
      </w:r>
      <w:r w:rsidRPr="00C23B16">
        <w:rPr>
          <w:color w:val="000000" w:themeColor="text1"/>
        </w:rPr>
        <w:t xml:space="preserve"> both wider </w:t>
      </w:r>
      <w:r>
        <w:rPr>
          <w:color w:val="000000" w:themeColor="text1"/>
        </w:rPr>
        <w:t>education settings’</w:t>
      </w:r>
      <w:r w:rsidRPr="00C23B16">
        <w:rPr>
          <w:color w:val="000000" w:themeColor="text1"/>
        </w:rPr>
        <w:t xml:space="preserve"> policies and </w:t>
      </w:r>
      <w:r>
        <w:rPr>
          <w:color w:val="000000" w:themeColor="text1"/>
        </w:rPr>
        <w:t>IHP</w:t>
      </w:r>
      <w:r w:rsidRPr="00C23B16">
        <w:rPr>
          <w:color w:val="000000" w:themeColor="text1"/>
        </w:rPr>
        <w:t>s</w:t>
      </w:r>
      <w:r>
        <w:rPr>
          <w:color w:val="000000" w:themeColor="text1"/>
        </w:rPr>
        <w:t>,</w:t>
      </w:r>
      <w:r w:rsidRPr="00C23B16">
        <w:rPr>
          <w:color w:val="000000" w:themeColor="text1"/>
        </w:rPr>
        <w:t xml:space="preserve"> are supported by clear communication</w:t>
      </w:r>
      <w:r>
        <w:rPr>
          <w:color w:val="000000" w:themeColor="text1"/>
        </w:rPr>
        <w:t xml:space="preserve"> with</w:t>
      </w:r>
      <w:r w:rsidRPr="00C23B16">
        <w:rPr>
          <w:color w:val="000000" w:themeColor="text1"/>
        </w:rPr>
        <w:t xml:space="preserve"> staff, parents and other key stakeholders to ensure full implementation.</w:t>
      </w:r>
      <w:r>
        <w:rPr>
          <w:color w:val="000000" w:themeColor="text1"/>
        </w:rPr>
        <w:t xml:space="preserve"> </w:t>
      </w:r>
      <w:r w:rsidRPr="00C23B16">
        <w:rPr>
          <w:color w:val="000000" w:themeColor="text1"/>
        </w:rPr>
        <w:t>It is essential that all information is kept up to date. All information</w:t>
      </w:r>
      <w:r>
        <w:rPr>
          <w:color w:val="000000" w:themeColor="text1"/>
        </w:rPr>
        <w:t>-</w:t>
      </w:r>
      <w:r w:rsidRPr="00C23B16">
        <w:rPr>
          <w:color w:val="000000" w:themeColor="text1"/>
        </w:rPr>
        <w:t xml:space="preserve">sharing techniques such as </w:t>
      </w:r>
      <w:r>
        <w:rPr>
          <w:color w:val="000000" w:themeColor="text1"/>
        </w:rPr>
        <w:t xml:space="preserve">staff </w:t>
      </w:r>
      <w:r w:rsidRPr="00C23B16">
        <w:rPr>
          <w:color w:val="000000" w:themeColor="text1"/>
        </w:rPr>
        <w:t>noticeboards and school intranets must be agreed</w:t>
      </w:r>
      <w:r>
        <w:rPr>
          <w:color w:val="000000" w:themeColor="text1"/>
        </w:rPr>
        <w:t xml:space="preserve"> by the learner and parent</w:t>
      </w:r>
      <w:r w:rsidRPr="00C23B16">
        <w:rPr>
          <w:color w:val="000000" w:themeColor="text1"/>
        </w:rPr>
        <w:t xml:space="preserve"> in advance of being used</w:t>
      </w:r>
      <w:r>
        <w:rPr>
          <w:color w:val="000000" w:themeColor="text1"/>
        </w:rPr>
        <w:t>, to protect confidentiality.</w:t>
      </w:r>
    </w:p>
    <w:p w:rsidR="00CA7C86" w:rsidRPr="00C23B16" w:rsidRDefault="00CA7C86" w:rsidP="00CA7C86">
      <w:pPr>
        <w:pStyle w:val="ListParagraph"/>
        <w:ind w:left="0"/>
        <w:rPr>
          <w:color w:val="000000" w:themeColor="text1"/>
        </w:rPr>
      </w:pPr>
    </w:p>
    <w:p w:rsidR="00CA7C86" w:rsidRDefault="00CA7C86" w:rsidP="00CA7C86">
      <w:pPr>
        <w:rPr>
          <w:color w:val="000000" w:themeColor="text1"/>
        </w:rPr>
      </w:pPr>
      <w:r w:rsidRPr="001C2A5E">
        <w:rPr>
          <w:b/>
          <w:color w:val="000000" w:themeColor="text1"/>
        </w:rPr>
        <w:t>Teachers, supply teachers and support staff (this may include catering staff and relevant contractors)</w:t>
      </w:r>
      <w:r w:rsidRPr="001C2A5E">
        <w:rPr>
          <w:color w:val="000000" w:themeColor="text1"/>
        </w:rPr>
        <w:t xml:space="preserve"> should have access to the relevant information, particularly if there is a possibility of an emergency situation arising. How this is done will depend on the type and size of the setting and could include:</w:t>
      </w:r>
    </w:p>
    <w:p w:rsidR="00CA7C86" w:rsidRPr="001C2A5E" w:rsidRDefault="00CA7C86" w:rsidP="00CA7C86">
      <w:pPr>
        <w:ind w:left="567" w:hanging="567"/>
        <w:rPr>
          <w:color w:val="000000" w:themeColor="text1"/>
        </w:rPr>
      </w:pPr>
    </w:p>
    <w:p w:rsidR="00CA7C86" w:rsidRDefault="00CA7C86" w:rsidP="00CA7C86">
      <w:pPr>
        <w:pStyle w:val="ListParagraph"/>
        <w:numPr>
          <w:ilvl w:val="1"/>
          <w:numId w:val="12"/>
        </w:numPr>
        <w:ind w:left="567" w:hanging="567"/>
        <w:rPr>
          <w:color w:val="000000" w:themeColor="text1"/>
        </w:rPr>
      </w:pPr>
      <w:r>
        <w:rPr>
          <w:color w:val="000000" w:themeColor="text1"/>
        </w:rPr>
        <w:t>w</w:t>
      </w:r>
      <w:r w:rsidRPr="00C23B16">
        <w:rPr>
          <w:color w:val="000000" w:themeColor="text1"/>
        </w:rPr>
        <w:t>here suitable, and following appropriate consent, a noticeboard in a staff room used to display information on high</w:t>
      </w:r>
      <w:r>
        <w:rPr>
          <w:color w:val="000000" w:themeColor="text1"/>
        </w:rPr>
        <w:t>-</w:t>
      </w:r>
      <w:r w:rsidRPr="00C23B16">
        <w:rPr>
          <w:color w:val="000000" w:themeColor="text1"/>
        </w:rPr>
        <w:t xml:space="preserve">risk health needs, first aiders and certificates, emergency procedures, etc. It should be noted that not all staff use their staff </w:t>
      </w:r>
    </w:p>
    <w:p w:rsidR="00CA7C86" w:rsidRPr="00C23B16" w:rsidRDefault="00CA7C86" w:rsidP="00CA7C86">
      <w:pPr>
        <w:pStyle w:val="ListParagraph"/>
        <w:ind w:left="567"/>
        <w:rPr>
          <w:color w:val="000000" w:themeColor="text1"/>
        </w:rPr>
      </w:pPr>
      <w:proofErr w:type="gramStart"/>
      <w:r w:rsidRPr="00C23B16">
        <w:rPr>
          <w:color w:val="000000" w:themeColor="text1"/>
        </w:rPr>
        <w:t>room</w:t>
      </w:r>
      <w:proofErr w:type="gramEnd"/>
      <w:r w:rsidRPr="00C23B16">
        <w:rPr>
          <w:color w:val="000000" w:themeColor="text1"/>
        </w:rPr>
        <w:t xml:space="preserve">, </w:t>
      </w:r>
      <w:r>
        <w:rPr>
          <w:color w:val="000000" w:themeColor="text1"/>
        </w:rPr>
        <w:t xml:space="preserve">that </w:t>
      </w:r>
      <w:r w:rsidRPr="00C23B16">
        <w:rPr>
          <w:color w:val="000000" w:themeColor="text1"/>
        </w:rPr>
        <w:t>the size of some educational settings could make this form of information</w:t>
      </w:r>
      <w:r>
        <w:rPr>
          <w:color w:val="000000" w:themeColor="text1"/>
        </w:rPr>
        <w:t>-</w:t>
      </w:r>
      <w:r w:rsidRPr="00C23B16">
        <w:rPr>
          <w:color w:val="000000" w:themeColor="text1"/>
        </w:rPr>
        <w:t xml:space="preserve">sharing impractical, and </w:t>
      </w:r>
      <w:r>
        <w:rPr>
          <w:color w:val="000000" w:themeColor="text1"/>
        </w:rPr>
        <w:t xml:space="preserve">that </w:t>
      </w:r>
      <w:r w:rsidRPr="00C23B16">
        <w:rPr>
          <w:color w:val="000000" w:themeColor="text1"/>
        </w:rPr>
        <w:t>at all times the learner’s right to privacy must be taken into account</w:t>
      </w:r>
    </w:p>
    <w:p w:rsidR="00CA7C86" w:rsidRDefault="00CA7C86" w:rsidP="00CA7C86">
      <w:pPr>
        <w:pStyle w:val="ListParagraph"/>
        <w:numPr>
          <w:ilvl w:val="1"/>
          <w:numId w:val="12"/>
        </w:numPr>
        <w:ind w:left="567" w:hanging="567"/>
        <w:rPr>
          <w:color w:val="000000" w:themeColor="text1"/>
        </w:rPr>
      </w:pPr>
      <w:proofErr w:type="gramStart"/>
      <w:r>
        <w:rPr>
          <w:color w:val="000000" w:themeColor="text1"/>
        </w:rPr>
        <w:t>t</w:t>
      </w:r>
      <w:r w:rsidRPr="00C23B16">
        <w:rPr>
          <w:color w:val="000000" w:themeColor="text1"/>
        </w:rPr>
        <w:t>he</w:t>
      </w:r>
      <w:proofErr w:type="gramEnd"/>
      <w:r w:rsidRPr="00C23B16">
        <w:rPr>
          <w:color w:val="000000" w:themeColor="text1"/>
        </w:rPr>
        <w:t xml:space="preserve"> education setting’s secure intranet area and staff meetings be</w:t>
      </w:r>
      <w:r>
        <w:rPr>
          <w:color w:val="000000" w:themeColor="text1"/>
        </w:rPr>
        <w:t>ing</w:t>
      </w:r>
      <w:r w:rsidRPr="00C23B16">
        <w:rPr>
          <w:color w:val="000000" w:themeColor="text1"/>
        </w:rPr>
        <w:t xml:space="preserve"> utilised to help ensure staff are aware of the healthcare needs of learners they have or may have contact with.</w:t>
      </w:r>
    </w:p>
    <w:p w:rsidR="00CA7C86" w:rsidRPr="00E11B07" w:rsidRDefault="00CA7C86" w:rsidP="00CA7C86">
      <w:pPr>
        <w:ind w:left="567" w:hanging="567"/>
        <w:rPr>
          <w:color w:val="000000" w:themeColor="text1"/>
        </w:rPr>
      </w:pPr>
    </w:p>
    <w:p w:rsidR="00CA7C86" w:rsidRDefault="00CA7C86" w:rsidP="00CA7C86">
      <w:pPr>
        <w:rPr>
          <w:color w:val="000000" w:themeColor="text1"/>
        </w:rPr>
      </w:pPr>
      <w:r w:rsidRPr="001C2A5E">
        <w:rPr>
          <w:b/>
          <w:color w:val="000000" w:themeColor="text1"/>
        </w:rPr>
        <w:t>Parents and learners</w:t>
      </w:r>
      <w:r w:rsidRPr="001C2A5E">
        <w:rPr>
          <w:color w:val="000000" w:themeColor="text1"/>
        </w:rPr>
        <w:t xml:space="preserve"> should be active partners, and to achieve this the education setting should make parents fully aware of the care their children receive. Parents and learners should also be made aware of their own rights and responsibilities. To help achieve </w:t>
      </w:r>
      <w:proofErr w:type="gramStart"/>
      <w:r w:rsidRPr="001C2A5E">
        <w:rPr>
          <w:color w:val="000000" w:themeColor="text1"/>
        </w:rPr>
        <w:t>this the</w:t>
      </w:r>
      <w:proofErr w:type="gramEnd"/>
      <w:r w:rsidRPr="001C2A5E">
        <w:rPr>
          <w:color w:val="000000" w:themeColor="text1"/>
        </w:rPr>
        <w:t xml:space="preserve"> education setting should:</w:t>
      </w:r>
    </w:p>
    <w:p w:rsidR="00CA7C86" w:rsidRPr="001C2A5E" w:rsidRDefault="00CA7C86" w:rsidP="00CA7C86">
      <w:pPr>
        <w:ind w:left="567" w:hanging="567"/>
        <w:rPr>
          <w:color w:val="000000" w:themeColor="text1"/>
        </w:rPr>
      </w:pPr>
    </w:p>
    <w:p w:rsidR="00CA7C86" w:rsidRDefault="00CA7C86" w:rsidP="00CA7C86">
      <w:pPr>
        <w:pStyle w:val="ListParagraph"/>
        <w:numPr>
          <w:ilvl w:val="1"/>
          <w:numId w:val="12"/>
        </w:numPr>
        <w:ind w:left="567" w:hanging="567"/>
        <w:rPr>
          <w:color w:val="000000" w:themeColor="text1"/>
        </w:rPr>
      </w:pPr>
      <w:r>
        <w:rPr>
          <w:color w:val="000000" w:themeColor="text1"/>
        </w:rPr>
        <w:t>m</w:t>
      </w:r>
      <w:r w:rsidRPr="00C23B16">
        <w:rPr>
          <w:color w:val="000000" w:themeColor="text1"/>
        </w:rPr>
        <w:t>ake healthcare needs policies easily available and accessible</w:t>
      </w:r>
      <w:r>
        <w:rPr>
          <w:color w:val="000000" w:themeColor="text1"/>
        </w:rPr>
        <w:t>,</w:t>
      </w:r>
      <w:r w:rsidRPr="00C23B16">
        <w:rPr>
          <w:color w:val="000000" w:themeColor="text1"/>
        </w:rPr>
        <w:t xml:space="preserve"> online and in hard copy </w:t>
      </w:r>
    </w:p>
    <w:p w:rsidR="00CA7C86" w:rsidRPr="00C23B16" w:rsidRDefault="00CA7C86" w:rsidP="00CA7C86">
      <w:pPr>
        <w:pStyle w:val="ListParagraph"/>
        <w:numPr>
          <w:ilvl w:val="1"/>
          <w:numId w:val="12"/>
        </w:numPr>
        <w:ind w:left="567" w:hanging="567"/>
        <w:rPr>
          <w:color w:val="000000" w:themeColor="text1"/>
        </w:rPr>
      </w:pPr>
      <w:proofErr w:type="gramStart"/>
      <w:r>
        <w:rPr>
          <w:color w:val="000000" w:themeColor="text1"/>
        </w:rPr>
        <w:t>provide</w:t>
      </w:r>
      <w:proofErr w:type="gramEnd"/>
      <w:r w:rsidRPr="00C23B16">
        <w:rPr>
          <w:color w:val="000000" w:themeColor="text1"/>
        </w:rPr>
        <w:t xml:space="preserve"> </w:t>
      </w:r>
      <w:r>
        <w:rPr>
          <w:color w:val="000000" w:themeColor="text1"/>
        </w:rPr>
        <w:t xml:space="preserve">the </w:t>
      </w:r>
      <w:r w:rsidRPr="00C23B16">
        <w:rPr>
          <w:color w:val="000000" w:themeColor="text1"/>
        </w:rPr>
        <w:t>learner</w:t>
      </w:r>
      <w:r>
        <w:rPr>
          <w:color w:val="000000" w:themeColor="text1"/>
        </w:rPr>
        <w:t>/parents</w:t>
      </w:r>
      <w:r w:rsidRPr="00C23B16">
        <w:rPr>
          <w:color w:val="000000" w:themeColor="text1"/>
        </w:rPr>
        <w:t xml:space="preserve"> with a copy of their </w:t>
      </w:r>
      <w:r>
        <w:rPr>
          <w:color w:val="000000" w:themeColor="text1"/>
        </w:rPr>
        <w:t>i</w:t>
      </w:r>
      <w:r w:rsidRPr="00C23B16">
        <w:rPr>
          <w:color w:val="000000" w:themeColor="text1"/>
        </w:rPr>
        <w:t xml:space="preserve">nformation </w:t>
      </w:r>
      <w:r>
        <w:rPr>
          <w:color w:val="000000" w:themeColor="text1"/>
        </w:rPr>
        <w:t>s</w:t>
      </w:r>
      <w:r w:rsidRPr="00C23B16">
        <w:rPr>
          <w:color w:val="000000" w:themeColor="text1"/>
        </w:rPr>
        <w:t xml:space="preserve">haring </w:t>
      </w:r>
      <w:r>
        <w:rPr>
          <w:color w:val="000000" w:themeColor="text1"/>
        </w:rPr>
        <w:t>p</w:t>
      </w:r>
      <w:r w:rsidRPr="00C23B16">
        <w:rPr>
          <w:color w:val="000000" w:themeColor="text1"/>
        </w:rPr>
        <w:t>olicy.</w:t>
      </w:r>
      <w:r>
        <w:rPr>
          <w:color w:val="000000" w:themeColor="text1"/>
        </w:rPr>
        <w:t xml:space="preserve"> </w:t>
      </w:r>
      <w:r w:rsidRPr="00C23B16">
        <w:rPr>
          <w:color w:val="000000" w:themeColor="text1"/>
        </w:rPr>
        <w:t>This should state the type of bodies and individuals with whom the learner</w:t>
      </w:r>
      <w:r>
        <w:rPr>
          <w:color w:val="000000" w:themeColor="text1"/>
        </w:rPr>
        <w:t>’</w:t>
      </w:r>
      <w:r w:rsidRPr="00C23B16">
        <w:rPr>
          <w:color w:val="000000" w:themeColor="text1"/>
        </w:rPr>
        <w:t>s medical information may be shared</w:t>
      </w:r>
    </w:p>
    <w:p w:rsidR="00CA7C86" w:rsidRPr="00C23B16" w:rsidRDefault="00CA7C86" w:rsidP="00CA7C86">
      <w:pPr>
        <w:pStyle w:val="ListParagraph"/>
        <w:numPr>
          <w:ilvl w:val="1"/>
          <w:numId w:val="12"/>
        </w:numPr>
        <w:ind w:left="567" w:hanging="567"/>
        <w:rPr>
          <w:color w:val="000000" w:themeColor="text1"/>
        </w:rPr>
      </w:pPr>
      <w:proofErr w:type="gramStart"/>
      <w:r>
        <w:rPr>
          <w:color w:val="000000" w:themeColor="text1"/>
        </w:rPr>
        <w:t>ask</w:t>
      </w:r>
      <w:proofErr w:type="gramEnd"/>
      <w:r>
        <w:rPr>
          <w:color w:val="000000" w:themeColor="text1"/>
        </w:rPr>
        <w:t xml:space="preserve"> parents</w:t>
      </w:r>
      <w:r w:rsidRPr="00C23B16">
        <w:rPr>
          <w:color w:val="000000" w:themeColor="text1"/>
        </w:rPr>
        <w:t xml:space="preserve"> to sign</w:t>
      </w:r>
      <w:r>
        <w:rPr>
          <w:color w:val="000000" w:themeColor="text1"/>
        </w:rPr>
        <w:t xml:space="preserve"> a </w:t>
      </w:r>
      <w:r w:rsidRPr="00C23B16">
        <w:rPr>
          <w:color w:val="000000" w:themeColor="text1"/>
        </w:rPr>
        <w:t xml:space="preserve">consent form which </w:t>
      </w:r>
      <w:r>
        <w:rPr>
          <w:color w:val="000000" w:themeColor="text1"/>
        </w:rPr>
        <w:t xml:space="preserve">clearly </w:t>
      </w:r>
      <w:r w:rsidRPr="00C23B16">
        <w:rPr>
          <w:color w:val="000000" w:themeColor="text1"/>
        </w:rPr>
        <w:t xml:space="preserve">details the bodies, individuals and methods </w:t>
      </w:r>
      <w:r>
        <w:rPr>
          <w:color w:val="000000" w:themeColor="text1"/>
        </w:rPr>
        <w:t>through</w:t>
      </w:r>
      <w:r w:rsidRPr="00C23B16">
        <w:rPr>
          <w:color w:val="000000" w:themeColor="text1"/>
        </w:rPr>
        <w:t xml:space="preserve"> which their learner’s medical information will be shared. Sharing medical information can be a sensitive issue</w:t>
      </w:r>
      <w:r>
        <w:rPr>
          <w:color w:val="000000" w:themeColor="text1"/>
        </w:rPr>
        <w:t xml:space="preserve"> and the learner should be involved in any decisions. Education settings</w:t>
      </w:r>
      <w:r w:rsidRPr="00C23B16">
        <w:rPr>
          <w:color w:val="000000" w:themeColor="text1"/>
        </w:rPr>
        <w:t xml:space="preserve"> should keep a list of what information has been shared with whom and why, for the learner</w:t>
      </w:r>
      <w:r>
        <w:rPr>
          <w:color w:val="000000" w:themeColor="text1"/>
        </w:rPr>
        <w:t>/parent</w:t>
      </w:r>
      <w:r w:rsidRPr="00C23B16">
        <w:rPr>
          <w:color w:val="000000" w:themeColor="text1"/>
        </w:rPr>
        <w:t xml:space="preserve"> to view on request</w:t>
      </w:r>
    </w:p>
    <w:p w:rsidR="00CA7C86" w:rsidRPr="00C23B16" w:rsidRDefault="00CA7C86" w:rsidP="00CA7C86">
      <w:pPr>
        <w:pStyle w:val="ListParagraph"/>
        <w:numPr>
          <w:ilvl w:val="1"/>
          <w:numId w:val="12"/>
        </w:numPr>
        <w:ind w:left="567" w:hanging="567"/>
        <w:rPr>
          <w:color w:val="000000" w:themeColor="text1"/>
        </w:rPr>
      </w:pPr>
      <w:r>
        <w:rPr>
          <w:color w:val="000000" w:themeColor="text1"/>
        </w:rPr>
        <w:t>c</w:t>
      </w:r>
      <w:r w:rsidRPr="00C23B16">
        <w:rPr>
          <w:color w:val="000000" w:themeColor="text1"/>
        </w:rPr>
        <w:t xml:space="preserve">onsider including a </w:t>
      </w:r>
      <w:proofErr w:type="spellStart"/>
      <w:r>
        <w:rPr>
          <w:color w:val="000000" w:themeColor="text1"/>
        </w:rPr>
        <w:t>web</w:t>
      </w:r>
      <w:r w:rsidRPr="00C23B16">
        <w:rPr>
          <w:color w:val="000000" w:themeColor="text1"/>
        </w:rPr>
        <w:t>link</w:t>
      </w:r>
      <w:proofErr w:type="spellEnd"/>
      <w:r w:rsidRPr="00C23B16">
        <w:rPr>
          <w:color w:val="000000" w:themeColor="text1"/>
        </w:rPr>
        <w:t xml:space="preserve"> to the healthcare needs policies in relevant communications sent to parents</w:t>
      </w:r>
      <w:r>
        <w:rPr>
          <w:color w:val="000000" w:themeColor="text1"/>
        </w:rPr>
        <w:t>,</w:t>
      </w:r>
      <w:r w:rsidRPr="00C23B16">
        <w:rPr>
          <w:color w:val="000000" w:themeColor="text1"/>
        </w:rPr>
        <w:t xml:space="preserve"> and within the learner</w:t>
      </w:r>
      <w:r>
        <w:rPr>
          <w:color w:val="000000" w:themeColor="text1"/>
        </w:rPr>
        <w:t>’s</w:t>
      </w:r>
      <w:r w:rsidRPr="00C23B16">
        <w:rPr>
          <w:color w:val="000000" w:themeColor="text1"/>
        </w:rPr>
        <w:t xml:space="preserve"> </w:t>
      </w:r>
      <w:r>
        <w:rPr>
          <w:color w:val="000000" w:themeColor="text1"/>
        </w:rPr>
        <w:t>IHP</w:t>
      </w:r>
      <w:r w:rsidRPr="00C23B16">
        <w:rPr>
          <w:color w:val="000000" w:themeColor="text1"/>
        </w:rPr>
        <w:t xml:space="preserve"> </w:t>
      </w:r>
    </w:p>
    <w:p w:rsidR="00CA7C86" w:rsidRPr="00C23B16" w:rsidRDefault="00CA7C86" w:rsidP="00CA7C86">
      <w:pPr>
        <w:pStyle w:val="ListParagraph"/>
        <w:numPr>
          <w:ilvl w:val="1"/>
          <w:numId w:val="12"/>
        </w:numPr>
        <w:ind w:left="567" w:hanging="567"/>
        <w:rPr>
          <w:color w:val="000000" w:themeColor="text1"/>
        </w:rPr>
      </w:pPr>
      <w:r>
        <w:rPr>
          <w:color w:val="000000" w:themeColor="text1"/>
        </w:rPr>
        <w:t>i</w:t>
      </w:r>
      <w:r w:rsidRPr="00C23B16">
        <w:rPr>
          <w:color w:val="000000" w:themeColor="text1"/>
        </w:rPr>
        <w:t>nclude student councils, ‘</w:t>
      </w:r>
      <w:r>
        <w:rPr>
          <w:color w:val="000000" w:themeColor="text1"/>
        </w:rPr>
        <w:t>h</w:t>
      </w:r>
      <w:r w:rsidRPr="00C23B16">
        <w:rPr>
          <w:color w:val="000000" w:themeColor="text1"/>
        </w:rPr>
        <w:t xml:space="preserve">ealthy </w:t>
      </w:r>
      <w:r>
        <w:rPr>
          <w:color w:val="000000" w:themeColor="text1"/>
        </w:rPr>
        <w:t>s</w:t>
      </w:r>
      <w:r w:rsidRPr="00C23B16">
        <w:rPr>
          <w:color w:val="000000" w:themeColor="text1"/>
        </w:rPr>
        <w:t xml:space="preserve">chools’ and other learner groups in the development of the setting’s healthcare needs arrangements, where appropriate </w:t>
      </w:r>
    </w:p>
    <w:p w:rsidR="00CA7C86" w:rsidRDefault="00CA7C86" w:rsidP="00CA7C86">
      <w:pPr>
        <w:pStyle w:val="ListParagraph"/>
        <w:numPr>
          <w:ilvl w:val="1"/>
          <w:numId w:val="12"/>
        </w:numPr>
        <w:ind w:left="567" w:hanging="567"/>
        <w:rPr>
          <w:color w:val="000000" w:themeColor="text1"/>
        </w:rPr>
      </w:pPr>
      <w:proofErr w:type="gramStart"/>
      <w:r>
        <w:rPr>
          <w:color w:val="000000" w:themeColor="text1"/>
        </w:rPr>
        <w:t>consider</w:t>
      </w:r>
      <w:proofErr w:type="gramEnd"/>
      <w:r>
        <w:rPr>
          <w:color w:val="000000" w:themeColor="text1"/>
        </w:rPr>
        <w:t xml:space="preserve"> how </w:t>
      </w:r>
      <w:r w:rsidRPr="00C23B16">
        <w:rPr>
          <w:color w:val="000000" w:themeColor="text1"/>
        </w:rPr>
        <w:t xml:space="preserve">friendship groups and </w:t>
      </w:r>
      <w:r>
        <w:rPr>
          <w:color w:val="000000" w:themeColor="text1"/>
        </w:rPr>
        <w:t>peers may be able to assist learners, e.g. they could be taught the triggers or signs of issues for a learner, know what to do in an emergency and who to ask for help.</w:t>
      </w:r>
      <w:r w:rsidRPr="00C23B16">
        <w:rPr>
          <w:color w:val="000000" w:themeColor="text1"/>
        </w:rPr>
        <w:t xml:space="preserve"> The education setting should discuss with the learner </w:t>
      </w:r>
      <w:r>
        <w:rPr>
          <w:color w:val="000000" w:themeColor="text1"/>
        </w:rPr>
        <w:t xml:space="preserve">and </w:t>
      </w:r>
      <w:r w:rsidRPr="00C23B16">
        <w:rPr>
          <w:color w:val="000000" w:themeColor="text1"/>
        </w:rPr>
        <w:t xml:space="preserve">parents </w:t>
      </w:r>
      <w:r>
        <w:rPr>
          <w:color w:val="000000" w:themeColor="text1"/>
        </w:rPr>
        <w:t>first and decide if</w:t>
      </w:r>
      <w:r w:rsidRPr="00C23B16">
        <w:rPr>
          <w:color w:val="000000" w:themeColor="text1"/>
        </w:rPr>
        <w:t xml:space="preserve"> information </w:t>
      </w:r>
      <w:r>
        <w:rPr>
          <w:color w:val="000000" w:themeColor="text1"/>
        </w:rPr>
        <w:t xml:space="preserve">can </w:t>
      </w:r>
      <w:r w:rsidRPr="00C23B16">
        <w:rPr>
          <w:color w:val="000000" w:themeColor="text1"/>
        </w:rPr>
        <w:t>be shared</w:t>
      </w:r>
      <w:r>
        <w:rPr>
          <w:color w:val="000000" w:themeColor="text1"/>
        </w:rPr>
        <w:t>.</w:t>
      </w:r>
    </w:p>
    <w:p w:rsidR="00CA7C86" w:rsidRDefault="00CA7C86" w:rsidP="00CA7C86"/>
    <w:p w:rsidR="00CA7C86" w:rsidRPr="00977845" w:rsidRDefault="00CA7C86" w:rsidP="00977845">
      <w:pPr>
        <w:pStyle w:val="Heading2"/>
        <w:rPr>
          <w:rFonts w:ascii="Arial" w:hAnsi="Arial" w:cs="Arial"/>
          <w:b/>
          <w:color w:val="auto"/>
          <w:u w:val="single"/>
        </w:rPr>
      </w:pPr>
      <w:bookmarkStart w:id="80" w:name="_Toc426729835"/>
      <w:bookmarkStart w:id="81" w:name="_Toc440373478"/>
      <w:bookmarkStart w:id="82" w:name="_Toc457845460"/>
      <w:bookmarkStart w:id="83" w:name="_Toc457845707"/>
      <w:bookmarkStart w:id="84" w:name="_Toc476002800"/>
      <w:r w:rsidRPr="00977845">
        <w:rPr>
          <w:rFonts w:ascii="Arial" w:hAnsi="Arial" w:cs="Arial"/>
          <w:b/>
          <w:color w:val="auto"/>
          <w:u w:val="single"/>
        </w:rPr>
        <w:t>Procedures and record keeping for the management of learners’ healthcare need</w:t>
      </w:r>
      <w:bookmarkEnd w:id="80"/>
      <w:bookmarkEnd w:id="81"/>
      <w:bookmarkEnd w:id="82"/>
      <w:bookmarkEnd w:id="83"/>
      <w:bookmarkEnd w:id="84"/>
      <w:r w:rsidR="00643BB1" w:rsidRPr="00977845">
        <w:rPr>
          <w:rFonts w:ascii="Arial" w:hAnsi="Arial" w:cs="Arial"/>
          <w:b/>
          <w:color w:val="auto"/>
          <w:u w:val="single"/>
        </w:rPr>
        <w:t>s</w:t>
      </w:r>
    </w:p>
    <w:p w:rsidR="00643BB1" w:rsidRDefault="00643BB1" w:rsidP="00643BB1"/>
    <w:p w:rsidR="00643BB1" w:rsidRPr="00643BB1" w:rsidRDefault="00643BB1" w:rsidP="00643BB1">
      <w:r>
        <w:t xml:space="preserve">Healthcare plans are in place and updated regularly. </w:t>
      </w:r>
    </w:p>
    <w:p w:rsidR="00CA7C86" w:rsidRPr="001C2A5E" w:rsidRDefault="00CA7C86" w:rsidP="00CA7C86"/>
    <w:p w:rsidR="00CA7C86" w:rsidRDefault="00CA7C86" w:rsidP="00CA7C86">
      <w:pPr>
        <w:pStyle w:val="ListParagraph"/>
        <w:ind w:left="0"/>
        <w:rPr>
          <w:color w:val="000000" w:themeColor="text1"/>
        </w:rPr>
      </w:pPr>
      <w:r w:rsidRPr="009F0195">
        <w:rPr>
          <w:color w:val="000000" w:themeColor="text1"/>
        </w:rPr>
        <w:t>The education setting should create procedures which state the roles/responsibilities of all parties involved in the identification, management and administration of healthcare needs. The following documentation should be collected and maintained, where appropriate</w:t>
      </w:r>
      <w:r>
        <w:rPr>
          <w:color w:val="000000" w:themeColor="text1"/>
        </w:rPr>
        <w:t>.</w:t>
      </w:r>
    </w:p>
    <w:p w:rsidR="00CA7C86" w:rsidRPr="009F0195" w:rsidRDefault="00CA7C86" w:rsidP="00CA7C86">
      <w:pPr>
        <w:pStyle w:val="ListParagraph"/>
        <w:ind w:left="0"/>
        <w:rPr>
          <w:color w:val="000000" w:themeColor="text1"/>
        </w:rPr>
      </w:pPr>
      <w:r w:rsidRPr="009F0195">
        <w:rPr>
          <w:color w:val="000000" w:themeColor="text1"/>
        </w:rPr>
        <w:t xml:space="preserve"> </w:t>
      </w:r>
    </w:p>
    <w:p w:rsidR="00CA7C86" w:rsidRPr="00C23B16" w:rsidRDefault="00CA7C86" w:rsidP="00CA7C86">
      <w:pPr>
        <w:numPr>
          <w:ilvl w:val="0"/>
          <w:numId w:val="14"/>
        </w:numPr>
        <w:ind w:left="0" w:firstLine="0"/>
        <w:rPr>
          <w:color w:val="000000" w:themeColor="text1"/>
        </w:rPr>
      </w:pPr>
      <w:r w:rsidRPr="00C23B16">
        <w:rPr>
          <w:color w:val="000000" w:themeColor="text1"/>
        </w:rPr>
        <w:t>Contact</w:t>
      </w:r>
      <w:r>
        <w:rPr>
          <w:color w:val="000000" w:themeColor="text1"/>
        </w:rPr>
        <w:t xml:space="preserve"> details for</w:t>
      </w:r>
      <w:r w:rsidRPr="00C23B16">
        <w:rPr>
          <w:color w:val="000000" w:themeColor="text1"/>
        </w:rPr>
        <w:t xml:space="preserve"> </w:t>
      </w:r>
      <w:r>
        <w:rPr>
          <w:color w:val="000000" w:themeColor="text1"/>
        </w:rPr>
        <w:t>e</w:t>
      </w:r>
      <w:r w:rsidRPr="00C23B16">
        <w:rPr>
          <w:color w:val="000000" w:themeColor="text1"/>
        </w:rPr>
        <w:t xml:space="preserve">mergency </w:t>
      </w:r>
      <w:r>
        <w:rPr>
          <w:color w:val="000000" w:themeColor="text1"/>
        </w:rPr>
        <w:t>s</w:t>
      </w:r>
      <w:r w:rsidRPr="00C23B16">
        <w:rPr>
          <w:color w:val="000000" w:themeColor="text1"/>
        </w:rPr>
        <w:t>ervices</w:t>
      </w:r>
    </w:p>
    <w:p w:rsidR="00CA7C86" w:rsidRPr="00C23B16" w:rsidRDefault="00CA7C86" w:rsidP="00CA7C86">
      <w:pPr>
        <w:numPr>
          <w:ilvl w:val="0"/>
          <w:numId w:val="14"/>
        </w:numPr>
        <w:ind w:left="0" w:firstLine="0"/>
        <w:rPr>
          <w:color w:val="000000" w:themeColor="text1"/>
        </w:rPr>
      </w:pPr>
      <w:r w:rsidRPr="00C23B16">
        <w:rPr>
          <w:color w:val="000000" w:themeColor="text1"/>
        </w:rPr>
        <w:t>Parental agreement for educational setting to administer medicine</w:t>
      </w:r>
    </w:p>
    <w:p w:rsidR="00CA7C86" w:rsidRPr="00C23B16" w:rsidRDefault="00CA7C86" w:rsidP="00CA7C86">
      <w:pPr>
        <w:numPr>
          <w:ilvl w:val="0"/>
          <w:numId w:val="14"/>
        </w:numPr>
        <w:ind w:left="0" w:firstLine="0"/>
        <w:rPr>
          <w:color w:val="000000" w:themeColor="text1"/>
        </w:rPr>
      </w:pPr>
      <w:r w:rsidRPr="00C23B16">
        <w:rPr>
          <w:color w:val="000000" w:themeColor="text1"/>
        </w:rPr>
        <w:t>Head of educational setting agreement to administer medicine</w:t>
      </w:r>
    </w:p>
    <w:p w:rsidR="00CA7C86" w:rsidRPr="00C23B16" w:rsidRDefault="00CA7C86" w:rsidP="00CA7C86">
      <w:pPr>
        <w:numPr>
          <w:ilvl w:val="0"/>
          <w:numId w:val="14"/>
        </w:numPr>
        <w:ind w:left="0" w:firstLine="0"/>
        <w:rPr>
          <w:color w:val="000000" w:themeColor="text1"/>
        </w:rPr>
      </w:pPr>
      <w:r w:rsidRPr="00C23B16">
        <w:rPr>
          <w:color w:val="000000" w:themeColor="text1"/>
        </w:rPr>
        <w:t xml:space="preserve">Record of medicine </w:t>
      </w:r>
      <w:r>
        <w:rPr>
          <w:color w:val="000000" w:themeColor="text1"/>
        </w:rPr>
        <w:t xml:space="preserve">stored for and </w:t>
      </w:r>
      <w:r w:rsidRPr="00C23B16">
        <w:rPr>
          <w:color w:val="000000" w:themeColor="text1"/>
        </w:rPr>
        <w:t>administered to an individual learner</w:t>
      </w:r>
    </w:p>
    <w:p w:rsidR="00CA7C86" w:rsidRPr="00C23B16" w:rsidRDefault="00CA7C86" w:rsidP="00CA7C86">
      <w:pPr>
        <w:numPr>
          <w:ilvl w:val="0"/>
          <w:numId w:val="14"/>
        </w:numPr>
        <w:ind w:left="0" w:firstLine="0"/>
        <w:rPr>
          <w:color w:val="000000" w:themeColor="text1"/>
        </w:rPr>
      </w:pPr>
      <w:r w:rsidRPr="00C23B16">
        <w:rPr>
          <w:color w:val="000000" w:themeColor="text1"/>
        </w:rPr>
        <w:t>Record of medicines administered to all learners by date</w:t>
      </w:r>
    </w:p>
    <w:p w:rsidR="00CA7C86" w:rsidRPr="00C23B16" w:rsidRDefault="00CA7C86" w:rsidP="00CA7C86">
      <w:pPr>
        <w:numPr>
          <w:ilvl w:val="0"/>
          <w:numId w:val="14"/>
        </w:numPr>
        <w:ind w:left="0" w:firstLine="0"/>
        <w:rPr>
          <w:color w:val="000000" w:themeColor="text1"/>
        </w:rPr>
      </w:pPr>
      <w:r w:rsidRPr="00C23B16">
        <w:rPr>
          <w:color w:val="000000" w:themeColor="text1"/>
        </w:rPr>
        <w:t xml:space="preserve">Request for learner to </w:t>
      </w:r>
      <w:r>
        <w:rPr>
          <w:color w:val="000000" w:themeColor="text1"/>
        </w:rPr>
        <w:t xml:space="preserve">administer </w:t>
      </w:r>
      <w:r w:rsidRPr="00C23B16">
        <w:rPr>
          <w:color w:val="000000" w:themeColor="text1"/>
        </w:rPr>
        <w:t>own medicine</w:t>
      </w:r>
    </w:p>
    <w:p w:rsidR="00CA7C86" w:rsidRDefault="00CA7C86" w:rsidP="00CA7C86">
      <w:pPr>
        <w:numPr>
          <w:ilvl w:val="0"/>
          <w:numId w:val="14"/>
        </w:numPr>
        <w:ind w:left="0" w:firstLine="0"/>
        <w:rPr>
          <w:color w:val="000000" w:themeColor="text1"/>
        </w:rPr>
      </w:pPr>
      <w:r w:rsidRPr="00C23B16">
        <w:rPr>
          <w:color w:val="000000" w:themeColor="text1"/>
        </w:rPr>
        <w:t xml:space="preserve">Staff training record </w:t>
      </w:r>
      <w:r>
        <w:rPr>
          <w:color w:val="000000" w:themeColor="text1"/>
        </w:rPr>
        <w:t>‒</w:t>
      </w:r>
      <w:r w:rsidRPr="00C23B16">
        <w:rPr>
          <w:color w:val="000000" w:themeColor="text1"/>
        </w:rPr>
        <w:t xml:space="preserve"> administration of medicines</w:t>
      </w:r>
    </w:p>
    <w:p w:rsidR="00CA7C86" w:rsidRDefault="00CA7C86" w:rsidP="00CA7C86">
      <w:pPr>
        <w:numPr>
          <w:ilvl w:val="0"/>
          <w:numId w:val="14"/>
        </w:numPr>
        <w:ind w:left="0" w:firstLine="0"/>
        <w:rPr>
          <w:color w:val="000000" w:themeColor="text1"/>
        </w:rPr>
      </w:pPr>
      <w:r w:rsidRPr="00C23B16">
        <w:rPr>
          <w:color w:val="000000" w:themeColor="text1"/>
        </w:rPr>
        <w:t xml:space="preserve">Medication </w:t>
      </w:r>
      <w:r>
        <w:rPr>
          <w:color w:val="000000" w:themeColor="text1"/>
        </w:rPr>
        <w:t>i</w:t>
      </w:r>
      <w:r w:rsidRPr="00C23B16">
        <w:rPr>
          <w:color w:val="000000" w:themeColor="text1"/>
        </w:rPr>
        <w:t xml:space="preserve">ncident </w:t>
      </w:r>
      <w:r>
        <w:rPr>
          <w:color w:val="000000" w:themeColor="text1"/>
        </w:rPr>
        <w:t>r</w:t>
      </w:r>
      <w:r w:rsidRPr="00C23B16">
        <w:rPr>
          <w:color w:val="000000" w:themeColor="text1"/>
        </w:rPr>
        <w:t>eport</w:t>
      </w:r>
    </w:p>
    <w:p w:rsidR="00CA7C86" w:rsidRDefault="00CA7C86" w:rsidP="00CA7C86">
      <w:pPr>
        <w:rPr>
          <w:color w:val="000000" w:themeColor="text1"/>
        </w:rPr>
      </w:pPr>
    </w:p>
    <w:p w:rsidR="00CA7C86" w:rsidRDefault="00CA7C86" w:rsidP="00CA7C86">
      <w:pPr>
        <w:pStyle w:val="ListParagraph"/>
        <w:ind w:left="0"/>
        <w:rPr>
          <w:color w:val="000000" w:themeColor="text1"/>
        </w:rPr>
      </w:pPr>
      <w:r>
        <w:rPr>
          <w:color w:val="000000" w:themeColor="text1"/>
        </w:rPr>
        <w:t>New records should be completed when there are changes to medication or dosage. The</w:t>
      </w:r>
      <w:r w:rsidRPr="00C23B16">
        <w:rPr>
          <w:color w:val="000000" w:themeColor="text1"/>
        </w:rPr>
        <w:t xml:space="preserve"> learning </w:t>
      </w:r>
      <w:r>
        <w:rPr>
          <w:color w:val="000000" w:themeColor="text1"/>
        </w:rPr>
        <w:t>setting</w:t>
      </w:r>
      <w:r w:rsidRPr="00C23B16">
        <w:rPr>
          <w:color w:val="000000" w:themeColor="text1"/>
        </w:rPr>
        <w:t xml:space="preserve"> should ensure that the old forms are clearly marked as being no longer relevant and stored in line with their information retention policy.</w:t>
      </w:r>
      <w:r w:rsidRPr="00C23B16" w:rsidDel="0015272E">
        <w:rPr>
          <w:color w:val="000000" w:themeColor="text1"/>
        </w:rPr>
        <w:t xml:space="preserve"> </w:t>
      </w:r>
      <w:r w:rsidRPr="00C23B16">
        <w:rPr>
          <w:color w:val="000000" w:themeColor="text1"/>
        </w:rPr>
        <w:t>The</w:t>
      </w:r>
      <w:r>
        <w:rPr>
          <w:color w:val="000000" w:themeColor="text1"/>
        </w:rPr>
        <w:t>s</w:t>
      </w:r>
      <w:r w:rsidRPr="00C23B16">
        <w:rPr>
          <w:color w:val="000000" w:themeColor="text1"/>
        </w:rPr>
        <w:t xml:space="preserve">e forms/templates can be found </w:t>
      </w:r>
      <w:r>
        <w:rPr>
          <w:color w:val="000000" w:themeColor="text1"/>
        </w:rPr>
        <w:t xml:space="preserve">in ‘Annex 2: Form templates’ on page 32. Electronic versions can be found </w:t>
      </w:r>
      <w:r w:rsidRPr="00C23B16">
        <w:rPr>
          <w:color w:val="000000" w:themeColor="text1"/>
        </w:rPr>
        <w:t xml:space="preserve">on the Welsh Government website. </w:t>
      </w:r>
    </w:p>
    <w:p w:rsidR="00CA7C86" w:rsidRPr="00C23B16" w:rsidRDefault="00CA7C86" w:rsidP="00CA7C86">
      <w:pPr>
        <w:pStyle w:val="ListParagraph"/>
        <w:ind w:left="0"/>
        <w:rPr>
          <w:color w:val="000000" w:themeColor="text1"/>
        </w:rPr>
      </w:pPr>
    </w:p>
    <w:p w:rsidR="00352E4D" w:rsidRDefault="00352E4D" w:rsidP="00CA7C86">
      <w:pPr>
        <w:pStyle w:val="Heading2"/>
      </w:pPr>
      <w:bookmarkStart w:id="85" w:name="_Toc426729836"/>
      <w:bookmarkStart w:id="86" w:name="_Toc440373479"/>
      <w:bookmarkStart w:id="87" w:name="_Toc457845461"/>
      <w:bookmarkStart w:id="88" w:name="_Toc457845708"/>
      <w:bookmarkStart w:id="89" w:name="_Toc476002801"/>
    </w:p>
    <w:p w:rsidR="00352E4D" w:rsidRDefault="00352E4D" w:rsidP="00CA7C86">
      <w:pPr>
        <w:pStyle w:val="Heading2"/>
      </w:pPr>
    </w:p>
    <w:p w:rsidR="00CA7C86" w:rsidRPr="00977845" w:rsidRDefault="00CA7C86" w:rsidP="00CA7C86">
      <w:pPr>
        <w:pStyle w:val="Heading2"/>
        <w:rPr>
          <w:rFonts w:ascii="Arial" w:hAnsi="Arial" w:cs="Arial"/>
          <w:b/>
          <w:u w:val="single"/>
        </w:rPr>
      </w:pPr>
      <w:r w:rsidRPr="00977845">
        <w:rPr>
          <w:rFonts w:ascii="Arial" w:hAnsi="Arial" w:cs="Arial"/>
          <w:b/>
          <w:color w:val="auto"/>
          <w:u w:val="single"/>
        </w:rPr>
        <w:t>Storage, access and the administration of medication</w:t>
      </w:r>
      <w:bookmarkEnd w:id="85"/>
      <w:r w:rsidRPr="00977845">
        <w:rPr>
          <w:rFonts w:ascii="Arial" w:hAnsi="Arial" w:cs="Arial"/>
          <w:b/>
          <w:color w:val="auto"/>
          <w:u w:val="single"/>
        </w:rPr>
        <w:t xml:space="preserve"> and devices</w:t>
      </w:r>
      <w:bookmarkEnd w:id="86"/>
      <w:bookmarkEnd w:id="87"/>
      <w:bookmarkEnd w:id="88"/>
      <w:bookmarkEnd w:id="89"/>
    </w:p>
    <w:p w:rsidR="00CA7C86" w:rsidRPr="001C2A5E" w:rsidRDefault="00CA7C86" w:rsidP="00CA7C86"/>
    <w:p w:rsidR="00CA7C86" w:rsidRDefault="00CA7C86" w:rsidP="00CA7C86">
      <w:pPr>
        <w:pStyle w:val="ListParagraph"/>
        <w:ind w:left="0"/>
        <w:rPr>
          <w:color w:val="000000" w:themeColor="text1"/>
        </w:rPr>
      </w:pPr>
      <w:r w:rsidRPr="00C23B16">
        <w:rPr>
          <w:color w:val="000000" w:themeColor="text1"/>
        </w:rPr>
        <w:t>Governing bodies should ensure the education setting’s policy is clear regarding the procedures to follow for managing medicines and devices. Storage, access and administration procedures will always be contextual to the education setting and the requirements of the learner</w:t>
      </w:r>
      <w:r>
        <w:rPr>
          <w:color w:val="000000" w:themeColor="text1"/>
        </w:rPr>
        <w:t>.</w:t>
      </w:r>
      <w:r w:rsidRPr="00C23B16">
        <w:rPr>
          <w:color w:val="000000" w:themeColor="text1"/>
        </w:rPr>
        <w:t xml:space="preserve"> </w:t>
      </w:r>
      <w:r>
        <w:rPr>
          <w:color w:val="000000" w:themeColor="text1"/>
        </w:rPr>
        <w:t>H</w:t>
      </w:r>
      <w:r w:rsidRPr="00C23B16">
        <w:rPr>
          <w:color w:val="000000" w:themeColor="text1"/>
        </w:rPr>
        <w:t>owever, the following general principles should be reflected.</w:t>
      </w:r>
    </w:p>
    <w:p w:rsidR="00CA7C86" w:rsidRDefault="00CA7C86" w:rsidP="00CA7C86">
      <w:pPr>
        <w:pStyle w:val="ListParagraph"/>
        <w:ind w:left="0"/>
        <w:rPr>
          <w:color w:val="000000" w:themeColor="text1"/>
        </w:rPr>
      </w:pPr>
    </w:p>
    <w:p w:rsidR="00CA7C86" w:rsidRPr="001C2A5E" w:rsidRDefault="00CA7C86" w:rsidP="00CA7C86">
      <w:pPr>
        <w:rPr>
          <w:color w:val="000000" w:themeColor="text1"/>
        </w:rPr>
      </w:pPr>
      <w:r w:rsidRPr="00C23B16">
        <w:rPr>
          <w:b/>
          <w:color w:val="000000" w:themeColor="text1"/>
        </w:rPr>
        <w:t>Supply of medication or devices</w:t>
      </w:r>
    </w:p>
    <w:p w:rsidR="00CA7C86" w:rsidRDefault="00CA7C86" w:rsidP="00CA7C86">
      <w:pPr>
        <w:rPr>
          <w:color w:val="000000" w:themeColor="text1"/>
        </w:rPr>
      </w:pPr>
      <w:r w:rsidRPr="00C23B16">
        <w:rPr>
          <w:color w:val="000000" w:themeColor="text1"/>
        </w:rPr>
        <w:t xml:space="preserve">Education settings should not store </w:t>
      </w:r>
      <w:r>
        <w:rPr>
          <w:color w:val="000000" w:themeColor="text1"/>
        </w:rPr>
        <w:t xml:space="preserve">surplus </w:t>
      </w:r>
      <w:r w:rsidRPr="00C23B16">
        <w:rPr>
          <w:color w:val="000000" w:themeColor="text1"/>
        </w:rPr>
        <w:t>medication. Parents should be asked to provide</w:t>
      </w:r>
      <w:r>
        <w:rPr>
          <w:color w:val="000000" w:themeColor="text1"/>
        </w:rPr>
        <w:t xml:space="preserve"> appropriate </w:t>
      </w:r>
      <w:r w:rsidRPr="00C23B16">
        <w:rPr>
          <w:color w:val="000000" w:themeColor="text1"/>
        </w:rPr>
        <w:t>supplies of medication</w:t>
      </w:r>
      <w:r>
        <w:rPr>
          <w:color w:val="000000" w:themeColor="text1"/>
        </w:rPr>
        <w:t>. These should be</w:t>
      </w:r>
      <w:r w:rsidRPr="00C23B16">
        <w:rPr>
          <w:color w:val="000000" w:themeColor="text1"/>
        </w:rPr>
        <w:t xml:space="preserve"> in their original container</w:t>
      </w:r>
      <w:r>
        <w:rPr>
          <w:color w:val="000000" w:themeColor="text1"/>
        </w:rPr>
        <w:t xml:space="preserve">, labelled </w:t>
      </w:r>
      <w:r w:rsidRPr="00C23B16">
        <w:rPr>
          <w:color w:val="000000" w:themeColor="text1"/>
        </w:rPr>
        <w:t xml:space="preserve">with the name of the learner, </w:t>
      </w:r>
      <w:r>
        <w:rPr>
          <w:color w:val="000000" w:themeColor="text1"/>
        </w:rPr>
        <w:t>medicine name</w:t>
      </w:r>
      <w:r w:rsidRPr="00C23B16">
        <w:rPr>
          <w:color w:val="000000" w:themeColor="text1"/>
        </w:rPr>
        <w:t>, dosage and frequency</w:t>
      </w:r>
      <w:r>
        <w:rPr>
          <w:color w:val="000000" w:themeColor="text1"/>
        </w:rPr>
        <w:t>,</w:t>
      </w:r>
      <w:r w:rsidRPr="00C23B16">
        <w:rPr>
          <w:color w:val="000000" w:themeColor="text1"/>
        </w:rPr>
        <w:t xml:space="preserve"> and expiry date. Education settings should </w:t>
      </w:r>
      <w:r w:rsidRPr="00E11B07">
        <w:rPr>
          <w:color w:val="000000" w:themeColor="text1"/>
        </w:rPr>
        <w:t>only</w:t>
      </w:r>
      <w:r w:rsidRPr="00C23B16">
        <w:rPr>
          <w:color w:val="000000" w:themeColor="text1"/>
        </w:rPr>
        <w:t xml:space="preserve"> accept prescribed medicines and devices that:</w:t>
      </w:r>
    </w:p>
    <w:p w:rsidR="00CA7C86" w:rsidRPr="00C23B16" w:rsidRDefault="00CA7C86" w:rsidP="00CA7C86">
      <w:pPr>
        <w:rPr>
          <w:color w:val="000000" w:themeColor="text1"/>
        </w:rPr>
      </w:pPr>
    </w:p>
    <w:p w:rsidR="00CA7C86" w:rsidRDefault="00CA7C86" w:rsidP="00CA7C86">
      <w:pPr>
        <w:numPr>
          <w:ilvl w:val="2"/>
          <w:numId w:val="16"/>
        </w:numPr>
        <w:ind w:left="567" w:hanging="567"/>
        <w:contextualSpacing/>
        <w:rPr>
          <w:color w:val="000000" w:themeColor="text1"/>
        </w:rPr>
      </w:pPr>
      <w:r>
        <w:rPr>
          <w:color w:val="000000" w:themeColor="text1"/>
        </w:rPr>
        <w:t>are i</w:t>
      </w:r>
      <w:r w:rsidRPr="00C23B16">
        <w:rPr>
          <w:color w:val="000000" w:themeColor="text1"/>
        </w:rPr>
        <w:t>n date</w:t>
      </w:r>
      <w:r>
        <w:rPr>
          <w:color w:val="000000" w:themeColor="text1"/>
        </w:rPr>
        <w:t xml:space="preserve"> </w:t>
      </w:r>
    </w:p>
    <w:p w:rsidR="00CA7C86" w:rsidRDefault="00CA7C86" w:rsidP="00CA7C86">
      <w:pPr>
        <w:numPr>
          <w:ilvl w:val="2"/>
          <w:numId w:val="16"/>
        </w:numPr>
        <w:ind w:left="567" w:hanging="567"/>
        <w:contextualSpacing/>
        <w:rPr>
          <w:color w:val="000000" w:themeColor="text1"/>
        </w:rPr>
      </w:pPr>
      <w:r>
        <w:rPr>
          <w:color w:val="000000" w:themeColor="text1"/>
        </w:rPr>
        <w:t>have contents correctly and clearly l</w:t>
      </w:r>
      <w:r w:rsidRPr="00C23B16">
        <w:rPr>
          <w:color w:val="000000" w:themeColor="text1"/>
        </w:rPr>
        <w:t>abelle</w:t>
      </w:r>
      <w:r>
        <w:rPr>
          <w:color w:val="000000" w:themeColor="text1"/>
        </w:rPr>
        <w:t>d</w:t>
      </w:r>
    </w:p>
    <w:p w:rsidR="00CA7C86" w:rsidRPr="00C23B16" w:rsidRDefault="00CA7C86" w:rsidP="00CA7C86">
      <w:pPr>
        <w:numPr>
          <w:ilvl w:val="2"/>
          <w:numId w:val="16"/>
        </w:numPr>
        <w:ind w:left="567" w:hanging="567"/>
        <w:contextualSpacing/>
        <w:rPr>
          <w:color w:val="000000" w:themeColor="text1"/>
        </w:rPr>
      </w:pPr>
      <w:r>
        <w:rPr>
          <w:color w:val="000000" w:themeColor="text1"/>
        </w:rPr>
        <w:t xml:space="preserve">are labelled with the learner’s name </w:t>
      </w:r>
    </w:p>
    <w:p w:rsidR="00CA7C86" w:rsidRPr="00C23B16" w:rsidRDefault="00CA7C86" w:rsidP="00CA7C86">
      <w:pPr>
        <w:numPr>
          <w:ilvl w:val="2"/>
          <w:numId w:val="16"/>
        </w:numPr>
        <w:ind w:left="567" w:hanging="567"/>
        <w:contextualSpacing/>
        <w:rPr>
          <w:color w:val="000000" w:themeColor="text1"/>
        </w:rPr>
      </w:pPr>
      <w:r>
        <w:rPr>
          <w:color w:val="000000" w:themeColor="text1"/>
        </w:rPr>
        <w:t>are a</w:t>
      </w:r>
      <w:r w:rsidRPr="00C23B16">
        <w:rPr>
          <w:color w:val="000000" w:themeColor="text1"/>
        </w:rPr>
        <w:t xml:space="preserve">ccompanied </w:t>
      </w:r>
      <w:r>
        <w:rPr>
          <w:color w:val="000000" w:themeColor="text1"/>
        </w:rPr>
        <w:t>with</w:t>
      </w:r>
      <w:r w:rsidRPr="00C23B16">
        <w:rPr>
          <w:color w:val="000000" w:themeColor="text1"/>
        </w:rPr>
        <w:t xml:space="preserve"> written instructions for administration, dosage and storage</w:t>
      </w:r>
    </w:p>
    <w:p w:rsidR="00CA7C86" w:rsidRDefault="00CA7C86" w:rsidP="00CA7C86">
      <w:pPr>
        <w:numPr>
          <w:ilvl w:val="2"/>
          <w:numId w:val="16"/>
        </w:numPr>
        <w:ind w:left="567" w:hanging="567"/>
        <w:contextualSpacing/>
        <w:rPr>
          <w:color w:val="000000" w:themeColor="text1"/>
        </w:rPr>
      </w:pPr>
      <w:proofErr w:type="gramStart"/>
      <w:r>
        <w:rPr>
          <w:color w:val="000000" w:themeColor="text1"/>
        </w:rPr>
        <w:t>are</w:t>
      </w:r>
      <w:proofErr w:type="gramEnd"/>
      <w:r>
        <w:rPr>
          <w:color w:val="000000" w:themeColor="text1"/>
        </w:rPr>
        <w:t xml:space="preserve"> i</w:t>
      </w:r>
      <w:r w:rsidRPr="00C23B16">
        <w:rPr>
          <w:color w:val="000000" w:themeColor="text1"/>
        </w:rPr>
        <w:t xml:space="preserve">n </w:t>
      </w:r>
      <w:r>
        <w:rPr>
          <w:color w:val="000000" w:themeColor="text1"/>
        </w:rPr>
        <w:t xml:space="preserve">their </w:t>
      </w:r>
      <w:r w:rsidRPr="00C23B16">
        <w:rPr>
          <w:color w:val="000000" w:themeColor="text1"/>
        </w:rPr>
        <w:t>original container</w:t>
      </w:r>
      <w:r>
        <w:rPr>
          <w:color w:val="000000" w:themeColor="text1"/>
        </w:rPr>
        <w:t xml:space="preserve">/packaging </w:t>
      </w:r>
      <w:r w:rsidRPr="00C23B16">
        <w:rPr>
          <w:color w:val="000000" w:themeColor="text1"/>
        </w:rPr>
        <w:t>as dispensed by the pharmacist (with the exception of insulin which is generally available via an insulin pen or a pump)</w:t>
      </w:r>
      <w:r>
        <w:rPr>
          <w:color w:val="000000" w:themeColor="text1"/>
        </w:rPr>
        <w:t>.</w:t>
      </w:r>
    </w:p>
    <w:p w:rsidR="00CA7C86" w:rsidRDefault="00CA7C86" w:rsidP="00CA7C86">
      <w:pPr>
        <w:ind w:left="567" w:hanging="567"/>
        <w:rPr>
          <w:color w:val="000000" w:themeColor="text1"/>
        </w:rPr>
      </w:pPr>
    </w:p>
    <w:p w:rsidR="00CA7C86" w:rsidRDefault="00CA7C86" w:rsidP="00CA7C86">
      <w:pPr>
        <w:ind w:left="567" w:hanging="567"/>
        <w:rPr>
          <w:color w:val="000000" w:themeColor="text1"/>
        </w:rPr>
      </w:pPr>
      <w:r w:rsidRPr="00AC69BA">
        <w:rPr>
          <w:color w:val="000000" w:themeColor="text1"/>
        </w:rPr>
        <w:t xml:space="preserve">Where </w:t>
      </w:r>
      <w:r w:rsidRPr="001C2A5E">
        <w:rPr>
          <w:color w:val="000000" w:themeColor="text1"/>
        </w:rPr>
        <w:t>non-prescribed medicine is</w:t>
      </w:r>
      <w:r w:rsidRPr="007D44FA">
        <w:rPr>
          <w:color w:val="000000" w:themeColor="text1"/>
        </w:rPr>
        <w:t xml:space="preserve"> </w:t>
      </w:r>
      <w:r w:rsidRPr="001C2A5E">
        <w:rPr>
          <w:color w:val="000000" w:themeColor="text1"/>
        </w:rPr>
        <w:t>held</w:t>
      </w:r>
      <w:r w:rsidRPr="00AC69BA">
        <w:rPr>
          <w:color w:val="000000" w:themeColor="text1"/>
        </w:rPr>
        <w:t xml:space="preserve"> by the education setting,</w:t>
      </w:r>
      <w:r>
        <w:rPr>
          <w:color w:val="000000" w:themeColor="text1"/>
        </w:rPr>
        <w:t xml:space="preserve"> e.g. liquid paracetamol,</w:t>
      </w:r>
    </w:p>
    <w:p w:rsidR="00CA7C86" w:rsidRDefault="00CA7C86" w:rsidP="00CA7C86">
      <w:pPr>
        <w:ind w:left="567" w:hanging="567"/>
        <w:rPr>
          <w:color w:val="000000" w:themeColor="text1"/>
        </w:rPr>
      </w:pPr>
      <w:proofErr w:type="gramStart"/>
      <w:r w:rsidRPr="00AC69BA">
        <w:rPr>
          <w:color w:val="000000" w:themeColor="text1"/>
        </w:rPr>
        <w:t>it</w:t>
      </w:r>
      <w:proofErr w:type="gramEnd"/>
      <w:r w:rsidRPr="00AC69BA">
        <w:rPr>
          <w:color w:val="000000" w:themeColor="text1"/>
        </w:rPr>
        <w:t xml:space="preserve"> should:</w:t>
      </w:r>
    </w:p>
    <w:p w:rsidR="00CA7C86" w:rsidRPr="00AC69BA" w:rsidRDefault="00CA7C86" w:rsidP="00CA7C86">
      <w:pPr>
        <w:ind w:left="567" w:hanging="567"/>
        <w:rPr>
          <w:color w:val="000000" w:themeColor="text1"/>
        </w:rPr>
      </w:pPr>
    </w:p>
    <w:p w:rsidR="00CA7C86" w:rsidRPr="00C23B16" w:rsidRDefault="00CA7C86" w:rsidP="00CA7C86">
      <w:pPr>
        <w:numPr>
          <w:ilvl w:val="2"/>
          <w:numId w:val="15"/>
        </w:numPr>
        <w:ind w:left="567" w:hanging="567"/>
        <w:contextualSpacing/>
        <w:rPr>
          <w:color w:val="000000" w:themeColor="text1"/>
        </w:rPr>
      </w:pPr>
      <w:r>
        <w:rPr>
          <w:color w:val="000000" w:themeColor="text1"/>
        </w:rPr>
        <w:t>be i</w:t>
      </w:r>
      <w:r w:rsidRPr="00C23B16">
        <w:rPr>
          <w:color w:val="000000" w:themeColor="text1"/>
        </w:rPr>
        <w:t>n date</w:t>
      </w:r>
    </w:p>
    <w:p w:rsidR="00CA7C86" w:rsidRDefault="00CA7C86" w:rsidP="00CA7C86">
      <w:pPr>
        <w:numPr>
          <w:ilvl w:val="2"/>
          <w:numId w:val="15"/>
        </w:numPr>
        <w:ind w:left="567" w:hanging="567"/>
        <w:contextualSpacing/>
        <w:rPr>
          <w:color w:val="000000" w:themeColor="text1"/>
        </w:rPr>
      </w:pPr>
      <w:r>
        <w:rPr>
          <w:color w:val="000000" w:themeColor="text1"/>
        </w:rPr>
        <w:t>have its contents correctly and clearly l</w:t>
      </w:r>
      <w:r w:rsidRPr="00C23B16">
        <w:rPr>
          <w:color w:val="000000" w:themeColor="text1"/>
        </w:rPr>
        <w:t>abelle</w:t>
      </w:r>
      <w:r>
        <w:rPr>
          <w:color w:val="000000" w:themeColor="text1"/>
        </w:rPr>
        <w:t>d</w:t>
      </w:r>
    </w:p>
    <w:p w:rsidR="00CA7C86" w:rsidRPr="00C23B16" w:rsidRDefault="00CA7C86" w:rsidP="00CA7C86">
      <w:pPr>
        <w:numPr>
          <w:ilvl w:val="2"/>
          <w:numId w:val="15"/>
        </w:numPr>
        <w:ind w:left="567" w:hanging="567"/>
        <w:contextualSpacing/>
        <w:rPr>
          <w:color w:val="000000" w:themeColor="text1"/>
        </w:rPr>
      </w:pPr>
      <w:r>
        <w:rPr>
          <w:color w:val="000000" w:themeColor="text1"/>
        </w:rPr>
        <w:t xml:space="preserve">be labelled with the learner’s name </w:t>
      </w:r>
    </w:p>
    <w:p w:rsidR="00CA7C86" w:rsidRDefault="00CA7C86" w:rsidP="00CA7C86">
      <w:pPr>
        <w:numPr>
          <w:ilvl w:val="2"/>
          <w:numId w:val="15"/>
        </w:numPr>
        <w:ind w:left="567" w:hanging="567"/>
        <w:contextualSpacing/>
        <w:rPr>
          <w:color w:val="000000" w:themeColor="text1"/>
        </w:rPr>
      </w:pPr>
      <w:r>
        <w:rPr>
          <w:color w:val="000000" w:themeColor="text1"/>
        </w:rPr>
        <w:t>be a</w:t>
      </w:r>
      <w:r w:rsidRPr="00C23B16">
        <w:rPr>
          <w:color w:val="000000" w:themeColor="text1"/>
        </w:rPr>
        <w:t xml:space="preserve">ccompanied </w:t>
      </w:r>
      <w:r>
        <w:rPr>
          <w:color w:val="000000" w:themeColor="text1"/>
        </w:rPr>
        <w:t>with</w:t>
      </w:r>
      <w:r w:rsidRPr="00C23B16">
        <w:rPr>
          <w:color w:val="000000" w:themeColor="text1"/>
        </w:rPr>
        <w:t xml:space="preserve"> written instructions for administration, dosage and storage</w:t>
      </w:r>
      <w:r>
        <w:rPr>
          <w:color w:val="000000" w:themeColor="text1"/>
        </w:rPr>
        <w:t xml:space="preserve"> ‒ this can be from the parent</w:t>
      </w:r>
    </w:p>
    <w:p w:rsidR="00CA7C86" w:rsidRPr="00BC6E7C" w:rsidRDefault="00CA7C86" w:rsidP="00CA7C86">
      <w:pPr>
        <w:numPr>
          <w:ilvl w:val="2"/>
          <w:numId w:val="15"/>
        </w:numPr>
        <w:ind w:left="567" w:hanging="567"/>
        <w:contextualSpacing/>
        <w:rPr>
          <w:color w:val="000000" w:themeColor="text1"/>
        </w:rPr>
      </w:pPr>
      <w:proofErr w:type="gramStart"/>
      <w:r>
        <w:rPr>
          <w:color w:val="000000" w:themeColor="text1"/>
        </w:rPr>
        <w:t>be</w:t>
      </w:r>
      <w:proofErr w:type="gramEnd"/>
      <w:r>
        <w:rPr>
          <w:color w:val="000000" w:themeColor="text1"/>
        </w:rPr>
        <w:t xml:space="preserve"> </w:t>
      </w:r>
      <w:r w:rsidRPr="00BC6E7C">
        <w:rPr>
          <w:color w:val="000000" w:themeColor="text1"/>
        </w:rPr>
        <w:t xml:space="preserve">in </w:t>
      </w:r>
      <w:r>
        <w:rPr>
          <w:color w:val="000000" w:themeColor="text1"/>
        </w:rPr>
        <w:t xml:space="preserve">its </w:t>
      </w:r>
      <w:r w:rsidRPr="00BC6E7C">
        <w:rPr>
          <w:color w:val="000000" w:themeColor="text1"/>
        </w:rPr>
        <w:t>original container</w:t>
      </w:r>
      <w:r>
        <w:rPr>
          <w:color w:val="000000" w:themeColor="text1"/>
        </w:rPr>
        <w:t>/packaging.</w:t>
      </w:r>
      <w:r w:rsidRPr="00BC6E7C">
        <w:rPr>
          <w:color w:val="000000" w:themeColor="text1"/>
        </w:rPr>
        <w:t xml:space="preserve"> </w:t>
      </w:r>
    </w:p>
    <w:p w:rsidR="00CA7C86" w:rsidRDefault="00CA7C86" w:rsidP="00CA7C86">
      <w:pPr>
        <w:ind w:left="567" w:hanging="567"/>
        <w:rPr>
          <w:b/>
          <w:color w:val="000000" w:themeColor="text1"/>
        </w:rPr>
      </w:pPr>
    </w:p>
    <w:p w:rsidR="00CA7C86" w:rsidRPr="001C2A5E" w:rsidRDefault="00CA7C86" w:rsidP="00CA7C86">
      <w:pPr>
        <w:ind w:left="567" w:hanging="567"/>
        <w:rPr>
          <w:color w:val="000000" w:themeColor="text1"/>
        </w:rPr>
      </w:pPr>
      <w:r w:rsidRPr="00C23B16">
        <w:rPr>
          <w:b/>
          <w:color w:val="000000" w:themeColor="text1"/>
        </w:rPr>
        <w:t>Storage, access and disposal</w:t>
      </w:r>
      <w:r>
        <w:rPr>
          <w:b/>
          <w:color w:val="000000" w:themeColor="text1"/>
        </w:rPr>
        <w:t xml:space="preserve"> </w:t>
      </w:r>
    </w:p>
    <w:p w:rsidR="00CA7C86" w:rsidRPr="00C23B16" w:rsidRDefault="00CA7C86" w:rsidP="00CA7C86">
      <w:pPr>
        <w:rPr>
          <w:color w:val="000000" w:themeColor="text1"/>
        </w:rPr>
      </w:pPr>
      <w:r w:rsidRPr="00C23B16">
        <w:rPr>
          <w:color w:val="000000" w:themeColor="text1"/>
        </w:rPr>
        <w:t>Whil</w:t>
      </w:r>
      <w:r>
        <w:rPr>
          <w:color w:val="000000" w:themeColor="text1"/>
        </w:rPr>
        <w:t>e</w:t>
      </w:r>
      <w:r w:rsidRPr="00C23B16">
        <w:rPr>
          <w:color w:val="000000" w:themeColor="text1"/>
        </w:rPr>
        <w:t xml:space="preserve"> all medicines should be stored safely, the type and use of the medication will</w:t>
      </w:r>
      <w:r>
        <w:rPr>
          <w:color w:val="000000" w:themeColor="text1"/>
        </w:rPr>
        <w:t xml:space="preserve"> </w:t>
      </w:r>
      <w:r w:rsidRPr="00C23B16">
        <w:rPr>
          <w:color w:val="000000" w:themeColor="text1"/>
        </w:rPr>
        <w:t xml:space="preserve">determine how this takes place. It is important </w:t>
      </w:r>
      <w:r>
        <w:rPr>
          <w:color w:val="000000" w:themeColor="text1"/>
        </w:rPr>
        <w:t xml:space="preserve">for </w:t>
      </w:r>
      <w:r w:rsidRPr="00C23B16">
        <w:rPr>
          <w:color w:val="000000" w:themeColor="text1"/>
        </w:rPr>
        <w:t xml:space="preserve">learners </w:t>
      </w:r>
      <w:r>
        <w:rPr>
          <w:color w:val="000000" w:themeColor="text1"/>
        </w:rPr>
        <w:t xml:space="preserve">to </w:t>
      </w:r>
      <w:r w:rsidRPr="00C23B16">
        <w:rPr>
          <w:color w:val="000000" w:themeColor="text1"/>
        </w:rPr>
        <w:t>know where their medication is stored and how to access it.</w:t>
      </w:r>
    </w:p>
    <w:p w:rsidR="00CA7C86" w:rsidRDefault="00CA7C86" w:rsidP="00CA7C86">
      <w:pPr>
        <w:ind w:left="567" w:hanging="567"/>
        <w:rPr>
          <w:b/>
          <w:color w:val="000000" w:themeColor="text1"/>
        </w:rPr>
      </w:pPr>
    </w:p>
    <w:p w:rsidR="00CA7C86" w:rsidRPr="001C2A5E" w:rsidRDefault="00CA7C86" w:rsidP="00CA7C86">
      <w:pPr>
        <w:pStyle w:val="ListParagraph"/>
        <w:numPr>
          <w:ilvl w:val="0"/>
          <w:numId w:val="17"/>
        </w:numPr>
        <w:ind w:left="567" w:hanging="567"/>
        <w:rPr>
          <w:color w:val="000000" w:themeColor="text1"/>
        </w:rPr>
      </w:pPr>
      <w:r w:rsidRPr="001C2A5E">
        <w:rPr>
          <w:b/>
          <w:color w:val="000000" w:themeColor="text1"/>
        </w:rPr>
        <w:t xml:space="preserve">Refrigeration </w:t>
      </w:r>
    </w:p>
    <w:p w:rsidR="00CA7C86" w:rsidRDefault="00CA7C86" w:rsidP="00CA7C86">
      <w:pPr>
        <w:pStyle w:val="ListParagraph"/>
        <w:ind w:left="567"/>
        <w:rPr>
          <w:color w:val="000000" w:themeColor="text1"/>
        </w:rPr>
      </w:pPr>
      <w:r w:rsidRPr="001C2A5E">
        <w:rPr>
          <w:color w:val="000000" w:themeColor="text1"/>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rsidR="00CA7C86" w:rsidRPr="001C2A5E" w:rsidRDefault="00CA7C86" w:rsidP="00CA7C86">
      <w:pPr>
        <w:pStyle w:val="ListParagraph"/>
        <w:ind w:left="567"/>
        <w:rPr>
          <w:color w:val="000000" w:themeColor="text1"/>
        </w:rPr>
      </w:pPr>
    </w:p>
    <w:p w:rsidR="00CA7C86" w:rsidRPr="001C2A5E" w:rsidRDefault="00CA7C86" w:rsidP="00CA7C86">
      <w:pPr>
        <w:pStyle w:val="ListParagraph"/>
        <w:numPr>
          <w:ilvl w:val="1"/>
          <w:numId w:val="13"/>
        </w:numPr>
        <w:ind w:left="567" w:hanging="567"/>
        <w:contextualSpacing w:val="0"/>
        <w:rPr>
          <w:color w:val="000000" w:themeColor="text1"/>
        </w:rPr>
      </w:pPr>
      <w:r w:rsidRPr="00C23B16">
        <w:rPr>
          <w:b/>
          <w:color w:val="000000" w:themeColor="text1"/>
        </w:rPr>
        <w:t xml:space="preserve">Emergency medication </w:t>
      </w:r>
    </w:p>
    <w:p w:rsidR="00CA7C86" w:rsidRDefault="00CA7C86" w:rsidP="00CA7C86">
      <w:pPr>
        <w:pStyle w:val="ListParagraph"/>
        <w:ind w:left="567"/>
        <w:contextualSpacing w:val="0"/>
        <w:rPr>
          <w:color w:val="000000" w:themeColor="text1"/>
        </w:rPr>
      </w:pPr>
      <w:r w:rsidRPr="00C23B16">
        <w:rPr>
          <w:color w:val="000000" w:themeColor="text1"/>
        </w:rPr>
        <w:t xml:space="preserve">Emergency medication must be readily available to learners who require it at all times during the day or at off-site activities. </w:t>
      </w:r>
      <w:r>
        <w:rPr>
          <w:color w:val="000000" w:themeColor="text1"/>
        </w:rPr>
        <w:t>M</w:t>
      </w:r>
      <w:r w:rsidRPr="00C23B16">
        <w:rPr>
          <w:color w:val="000000" w:themeColor="text1"/>
        </w:rPr>
        <w:t xml:space="preserve">edicines and devices such as asthma inhalers, blood glucose testing meters and adrenaline </w:t>
      </w:r>
      <w:r>
        <w:rPr>
          <w:color w:val="000000" w:themeColor="text1"/>
        </w:rPr>
        <w:t>auto-injectors (pens)</w:t>
      </w:r>
      <w:r w:rsidRPr="00C23B16">
        <w:rPr>
          <w:color w:val="000000" w:themeColor="text1"/>
        </w:rPr>
        <w:t xml:space="preserve"> should be readily available to learners and </w:t>
      </w:r>
      <w:r w:rsidRPr="00E11B07">
        <w:rPr>
          <w:color w:val="000000" w:themeColor="text1"/>
        </w:rPr>
        <w:t>not locked</w:t>
      </w:r>
      <w:r w:rsidRPr="00C23B16">
        <w:rPr>
          <w:color w:val="000000" w:themeColor="text1"/>
        </w:rPr>
        <w:t xml:space="preserve"> away. This is particularly important to consider when outside of the education setting’s premises</w:t>
      </w:r>
      <w:r>
        <w:rPr>
          <w:color w:val="000000" w:themeColor="text1"/>
        </w:rPr>
        <w:t>,</w:t>
      </w:r>
      <w:r w:rsidRPr="00C23B16">
        <w:rPr>
          <w:color w:val="000000" w:themeColor="text1"/>
        </w:rPr>
        <w:t xml:space="preserve"> e.g. on trips. If the emergency medication is a controlled drug it should be kept as securely as possible so as to minimise the risk of unauthorised access whil</w:t>
      </w:r>
      <w:r>
        <w:rPr>
          <w:color w:val="000000" w:themeColor="text1"/>
        </w:rPr>
        <w:t>e</w:t>
      </w:r>
      <w:r w:rsidRPr="00C23B16">
        <w:rPr>
          <w:color w:val="000000" w:themeColor="text1"/>
        </w:rPr>
        <w:t xml:space="preserve"> also allowing quick access if this might be necessary in an emergenc</w:t>
      </w:r>
      <w:r>
        <w:rPr>
          <w:color w:val="000000" w:themeColor="text1"/>
        </w:rPr>
        <w:t>y. F</w:t>
      </w:r>
      <w:r w:rsidRPr="00C23B16">
        <w:rPr>
          <w:color w:val="000000" w:themeColor="text1"/>
        </w:rPr>
        <w:t>or example, keys should not be held personally by a member of staff. A learner who has been prescribed a controlled drug may legally have it in their possession, if they are competent to do so,</w:t>
      </w:r>
      <w:r>
        <w:rPr>
          <w:color w:val="000000" w:themeColor="text1"/>
        </w:rPr>
        <w:t xml:space="preserve"> and </w:t>
      </w:r>
      <w:r w:rsidRPr="00C23B16">
        <w:rPr>
          <w:color w:val="000000" w:themeColor="text1"/>
        </w:rPr>
        <w:t xml:space="preserve">they must not pass it to another learner or other unauthorised person. Monitoring may be necessary. Where </w:t>
      </w:r>
      <w:proofErr w:type="gramStart"/>
      <w:r w:rsidRPr="00C23B16">
        <w:rPr>
          <w:color w:val="000000" w:themeColor="text1"/>
        </w:rPr>
        <w:t>staff administer</w:t>
      </w:r>
      <w:proofErr w:type="gramEnd"/>
      <w:r w:rsidRPr="00C23B16">
        <w:rPr>
          <w:color w:val="000000" w:themeColor="text1"/>
        </w:rPr>
        <w:t xml:space="preserve"> emergency medication to a learner, this should be recorded.</w:t>
      </w:r>
    </w:p>
    <w:p w:rsidR="00CA7C86" w:rsidRPr="00C23B16" w:rsidRDefault="00CA7C86" w:rsidP="00CA7C86">
      <w:pPr>
        <w:pStyle w:val="ListParagraph"/>
        <w:ind w:left="567"/>
        <w:contextualSpacing w:val="0"/>
        <w:rPr>
          <w:color w:val="000000" w:themeColor="text1"/>
        </w:rPr>
      </w:pPr>
    </w:p>
    <w:p w:rsidR="00CA7C86" w:rsidRPr="001C2A5E" w:rsidRDefault="00CA7C86" w:rsidP="00CA7C86">
      <w:pPr>
        <w:pStyle w:val="ListParagraph"/>
        <w:numPr>
          <w:ilvl w:val="1"/>
          <w:numId w:val="13"/>
        </w:numPr>
        <w:ind w:left="567" w:hanging="567"/>
        <w:contextualSpacing w:val="0"/>
        <w:rPr>
          <w:color w:val="000000" w:themeColor="text1"/>
        </w:rPr>
      </w:pPr>
      <w:r w:rsidRPr="00C23B16">
        <w:rPr>
          <w:b/>
          <w:color w:val="000000" w:themeColor="text1"/>
        </w:rPr>
        <w:t xml:space="preserve">Non-emergency medication </w:t>
      </w:r>
    </w:p>
    <w:p w:rsidR="00CA7C86" w:rsidRDefault="00CA7C86" w:rsidP="00CA7C86">
      <w:pPr>
        <w:pStyle w:val="ListParagraph"/>
        <w:ind w:left="567"/>
        <w:contextualSpacing w:val="0"/>
        <w:rPr>
          <w:color w:val="000000" w:themeColor="text1"/>
        </w:rPr>
      </w:pPr>
      <w:r w:rsidRPr="00C23B16">
        <w:rPr>
          <w:color w:val="000000" w:themeColor="text1"/>
        </w:rPr>
        <w:t xml:space="preserve">All non-emergency medication should be kept in a secure place with appropriate temperature or light controls. If it is a controlled drug, additional security measures and controls </w:t>
      </w:r>
      <w:r>
        <w:rPr>
          <w:color w:val="000000" w:themeColor="text1"/>
        </w:rPr>
        <w:t>are</w:t>
      </w:r>
      <w:r w:rsidRPr="00C23B16">
        <w:rPr>
          <w:color w:val="000000" w:themeColor="text1"/>
        </w:rPr>
        <w:t xml:space="preserve"> advisable.</w:t>
      </w:r>
    </w:p>
    <w:p w:rsidR="00CA7C86" w:rsidRPr="00C23B16" w:rsidRDefault="00CA7C86" w:rsidP="00CA7C86">
      <w:pPr>
        <w:pStyle w:val="ListParagraph"/>
        <w:ind w:left="567"/>
        <w:contextualSpacing w:val="0"/>
        <w:rPr>
          <w:color w:val="000000" w:themeColor="text1"/>
        </w:rPr>
      </w:pPr>
    </w:p>
    <w:p w:rsidR="00CA7C86" w:rsidRPr="001C2A5E" w:rsidRDefault="00CA7C86" w:rsidP="00CA7C86">
      <w:pPr>
        <w:pStyle w:val="ListParagraph"/>
        <w:numPr>
          <w:ilvl w:val="1"/>
          <w:numId w:val="13"/>
        </w:numPr>
        <w:ind w:left="567" w:hanging="567"/>
        <w:contextualSpacing w:val="0"/>
        <w:rPr>
          <w:color w:val="000000" w:themeColor="text1"/>
        </w:rPr>
      </w:pPr>
      <w:r w:rsidRPr="00C23B16">
        <w:rPr>
          <w:b/>
          <w:color w:val="000000" w:themeColor="text1"/>
        </w:rPr>
        <w:t xml:space="preserve">Disposal of medicines </w:t>
      </w:r>
    </w:p>
    <w:p w:rsidR="00CA7C86" w:rsidRPr="00C23B16" w:rsidRDefault="00CA7C86" w:rsidP="00CA7C86">
      <w:pPr>
        <w:pStyle w:val="ListParagraph"/>
        <w:ind w:left="567"/>
        <w:contextualSpacing w:val="0"/>
        <w:rPr>
          <w:color w:val="000000" w:themeColor="text1"/>
        </w:rPr>
      </w:pPr>
      <w:r w:rsidRPr="00C23B16">
        <w:rPr>
          <w:color w:val="000000" w:themeColor="text1"/>
        </w:rPr>
        <w:t>When no longer required, medicines should be returned to parents to arrange</w:t>
      </w:r>
      <w:r>
        <w:rPr>
          <w:color w:val="000000" w:themeColor="text1"/>
        </w:rPr>
        <w:t xml:space="preserve"> safe</w:t>
      </w:r>
      <w:r w:rsidRPr="00C23B16">
        <w:rPr>
          <w:color w:val="000000" w:themeColor="text1"/>
        </w:rPr>
        <w:t xml:space="preserve"> disposal</w:t>
      </w:r>
      <w:r>
        <w:rPr>
          <w:color w:val="000000" w:themeColor="text1"/>
        </w:rPr>
        <w:t xml:space="preserve">. </w:t>
      </w:r>
      <w:r w:rsidRPr="00C23B16">
        <w:rPr>
          <w:color w:val="000000" w:themeColor="text1"/>
        </w:rPr>
        <w:t>Sharp</w:t>
      </w:r>
      <w:r>
        <w:rPr>
          <w:color w:val="000000" w:themeColor="text1"/>
        </w:rPr>
        <w:t xml:space="preserve"> </w:t>
      </w:r>
      <w:r w:rsidRPr="00C23B16">
        <w:rPr>
          <w:color w:val="000000" w:themeColor="text1"/>
        </w:rPr>
        <w:t>boxes must always be used for the disposal of needles and other sharp</w:t>
      </w:r>
      <w:r>
        <w:rPr>
          <w:color w:val="000000" w:themeColor="text1"/>
        </w:rPr>
        <w:t xml:space="preserve"> instruments,</w:t>
      </w:r>
      <w:r w:rsidRPr="00C23B16">
        <w:rPr>
          <w:color w:val="000000" w:themeColor="text1"/>
        </w:rPr>
        <w:t xml:space="preserve"> and disposed of appropriately.</w:t>
      </w:r>
    </w:p>
    <w:p w:rsidR="00CA7C86" w:rsidRDefault="00CA7C86" w:rsidP="00CA7C86">
      <w:pPr>
        <w:ind w:left="567" w:hanging="567"/>
        <w:rPr>
          <w:b/>
          <w:color w:val="000000" w:themeColor="text1"/>
        </w:rPr>
      </w:pPr>
    </w:p>
    <w:p w:rsidR="00CA7C86" w:rsidRPr="00C23B16" w:rsidRDefault="00CA7C86" w:rsidP="00CA7C86">
      <w:pPr>
        <w:ind w:left="567" w:hanging="567"/>
        <w:rPr>
          <w:b/>
          <w:color w:val="000000" w:themeColor="text1"/>
        </w:rPr>
      </w:pPr>
      <w:r w:rsidRPr="00411971">
        <w:rPr>
          <w:b/>
          <w:color w:val="000000" w:themeColor="text1"/>
        </w:rPr>
        <w:t>Administration</w:t>
      </w:r>
      <w:r w:rsidRPr="00C23B16">
        <w:rPr>
          <w:b/>
          <w:color w:val="000000" w:themeColor="text1"/>
        </w:rPr>
        <w:t xml:space="preserve"> of medicines</w:t>
      </w:r>
      <w:r w:rsidRPr="00C23B16">
        <w:rPr>
          <w:color w:val="000000" w:themeColor="text1"/>
        </w:rPr>
        <w:t xml:space="preserve"> </w:t>
      </w:r>
    </w:p>
    <w:p w:rsidR="00CA7C86" w:rsidRPr="00E60D9F" w:rsidRDefault="00CA7C86" w:rsidP="00CA7C86">
      <w:pPr>
        <w:pStyle w:val="ListParagraph"/>
        <w:numPr>
          <w:ilvl w:val="1"/>
          <w:numId w:val="13"/>
        </w:numPr>
        <w:ind w:left="567" w:hanging="567"/>
        <w:contextualSpacing w:val="0"/>
        <w:rPr>
          <w:color w:val="000000" w:themeColor="text1"/>
        </w:rPr>
      </w:pPr>
      <w:r w:rsidRPr="00E60D9F">
        <w:rPr>
          <w:color w:val="000000" w:themeColor="text1"/>
        </w:rPr>
        <w:t>Where the learner is under 16, assistance or administration of prescribed or</w:t>
      </w:r>
      <w:r>
        <w:rPr>
          <w:color w:val="000000" w:themeColor="text1"/>
        </w:rPr>
        <w:t xml:space="preserve">         </w:t>
      </w:r>
      <w:r w:rsidRPr="00E60D9F">
        <w:rPr>
          <w:color w:val="000000" w:themeColor="text1"/>
        </w:rPr>
        <w:t>non</w:t>
      </w:r>
      <w:r>
        <w:rPr>
          <w:color w:val="000000" w:themeColor="text1"/>
        </w:rPr>
        <w:t>-</w:t>
      </w:r>
      <w:r w:rsidRPr="00E60D9F">
        <w:rPr>
          <w:color w:val="000000" w:themeColor="text1"/>
        </w:rPr>
        <w:t xml:space="preserve">prescribed medicines requires written parental consent, unless </w:t>
      </w:r>
      <w:proofErr w:type="spellStart"/>
      <w:r w:rsidRPr="00E60D9F">
        <w:rPr>
          <w:color w:val="000000" w:themeColor="text1"/>
        </w:rPr>
        <w:t>Gillick</w:t>
      </w:r>
      <w:proofErr w:type="spellEnd"/>
      <w:r w:rsidRPr="00E60D9F">
        <w:rPr>
          <w:color w:val="000000" w:themeColor="text1"/>
        </w:rPr>
        <w:t xml:space="preserve"> competence is recorded. The administration of all medication should be recorded.  </w:t>
      </w:r>
    </w:p>
    <w:p w:rsidR="00CA7C86" w:rsidRPr="00C23B16" w:rsidRDefault="00CA7C86" w:rsidP="00CA7C86">
      <w:pPr>
        <w:pStyle w:val="ListParagraph"/>
        <w:numPr>
          <w:ilvl w:val="1"/>
          <w:numId w:val="13"/>
        </w:numPr>
        <w:ind w:left="567" w:hanging="567"/>
        <w:contextualSpacing w:val="0"/>
        <w:rPr>
          <w:color w:val="000000" w:themeColor="text1"/>
        </w:rPr>
      </w:pPr>
      <w:r w:rsidRPr="0090203D">
        <w:rPr>
          <w:color w:val="000000" w:themeColor="text1"/>
        </w:rPr>
        <w:t>Where medication is prescribed to be taken in frequencies which allow the daily course of medicine to be administered at home</w:t>
      </w:r>
      <w:r>
        <w:rPr>
          <w:color w:val="000000" w:themeColor="text1"/>
        </w:rPr>
        <w:t>,</w:t>
      </w:r>
      <w:r w:rsidRPr="0090203D">
        <w:rPr>
          <w:color w:val="000000" w:themeColor="text1"/>
        </w:rPr>
        <w:t xml:space="preserve"> parents should seek to do so</w:t>
      </w:r>
      <w:r>
        <w:rPr>
          <w:color w:val="000000" w:themeColor="text1"/>
        </w:rPr>
        <w:t>, e.g. before and after school and in the evening. There will be instances where this is not appropriate.</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Learners under 16 should never be given aspirin or its derivatives unless prescribed to them.</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 xml:space="preserve">Unless there is an agreed plan for the learner to </w:t>
      </w:r>
      <w:r w:rsidRPr="000224A1">
        <w:rPr>
          <w:color w:val="000000" w:themeColor="text1"/>
        </w:rPr>
        <w:t>self-medicate</w:t>
      </w:r>
      <w:r>
        <w:rPr>
          <w:color w:val="000000" w:themeColor="text1"/>
        </w:rPr>
        <w:t xml:space="preserve"> (16 years and above or </w:t>
      </w:r>
      <w:proofErr w:type="spellStart"/>
      <w:r>
        <w:rPr>
          <w:color w:val="000000" w:themeColor="text1"/>
        </w:rPr>
        <w:t>Gillick</w:t>
      </w:r>
      <w:proofErr w:type="spellEnd"/>
      <w:r>
        <w:rPr>
          <w:color w:val="000000" w:themeColor="text1"/>
        </w:rPr>
        <w:t xml:space="preserve"> competent)</w:t>
      </w:r>
      <w:r w:rsidRPr="00C23B16">
        <w:rPr>
          <w:color w:val="000000" w:themeColor="text1"/>
        </w:rPr>
        <w:t xml:space="preserve">, all medication should be administered by a member of staff. In other cases, it may need to be supervised in accordance with the </w:t>
      </w:r>
      <w:r>
        <w:rPr>
          <w:color w:val="000000" w:themeColor="text1"/>
        </w:rPr>
        <w:t>IHP</w:t>
      </w:r>
      <w:r w:rsidRPr="00C23B16">
        <w:rPr>
          <w:color w:val="000000" w:themeColor="text1"/>
        </w:rPr>
        <w:t xml:space="preserve">. </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Medication should only be administered by suitably trained staff. The movement and location of these trained staff should always be in conjuncture with the learners they support.</w:t>
      </w:r>
      <w:r>
        <w:rPr>
          <w:color w:val="000000" w:themeColor="text1"/>
        </w:rPr>
        <w:t xml:space="preserve"> </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 xml:space="preserve">Staff should check the maximum dosage and </w:t>
      </w:r>
      <w:r>
        <w:rPr>
          <w:color w:val="000000" w:themeColor="text1"/>
        </w:rPr>
        <w:t xml:space="preserve">the amount and time of any </w:t>
      </w:r>
      <w:r w:rsidRPr="00C23B16">
        <w:rPr>
          <w:color w:val="000000" w:themeColor="text1"/>
        </w:rPr>
        <w:t>prior dosage administered.</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Certain medica</w:t>
      </w:r>
      <w:r>
        <w:rPr>
          <w:color w:val="000000" w:themeColor="text1"/>
        </w:rPr>
        <w:t>l</w:t>
      </w:r>
      <w:r w:rsidRPr="00C23B16">
        <w:rPr>
          <w:color w:val="000000" w:themeColor="text1"/>
        </w:rPr>
        <w:t xml:space="preserve"> procedures may require administration by an adult of the same gender as the learner, and </w:t>
      </w:r>
      <w:r>
        <w:rPr>
          <w:color w:val="000000" w:themeColor="text1"/>
        </w:rPr>
        <w:t>may need to be</w:t>
      </w:r>
      <w:r w:rsidRPr="00C23B16">
        <w:rPr>
          <w:color w:val="000000" w:themeColor="text1"/>
        </w:rPr>
        <w:t xml:space="preserve"> witnessed by a second adult. </w:t>
      </w:r>
      <w:r>
        <w:rPr>
          <w:color w:val="000000" w:themeColor="text1"/>
        </w:rPr>
        <w:t>The</w:t>
      </w:r>
      <w:r w:rsidRPr="00C23B16">
        <w:rPr>
          <w:color w:val="000000" w:themeColor="text1"/>
        </w:rPr>
        <w:t xml:space="preserve"> </w:t>
      </w:r>
      <w:r>
        <w:rPr>
          <w:color w:val="000000" w:themeColor="text1"/>
        </w:rPr>
        <w:t>learner’s</w:t>
      </w:r>
      <w:r w:rsidRPr="00C23B16">
        <w:rPr>
          <w:color w:val="000000" w:themeColor="text1"/>
        </w:rPr>
        <w:t xml:space="preserve"> thoughts and feelings regarding the number and gender of </w:t>
      </w:r>
      <w:r>
        <w:rPr>
          <w:color w:val="000000" w:themeColor="text1"/>
        </w:rPr>
        <w:t>those assisting</w:t>
      </w:r>
      <w:r w:rsidRPr="00C23B16">
        <w:rPr>
          <w:color w:val="000000" w:themeColor="text1"/>
        </w:rPr>
        <w:t xml:space="preserve"> must</w:t>
      </w:r>
      <w:r>
        <w:rPr>
          <w:color w:val="000000" w:themeColor="text1"/>
        </w:rPr>
        <w:t xml:space="preserve"> be</w:t>
      </w:r>
      <w:r w:rsidRPr="00C23B16">
        <w:rPr>
          <w:color w:val="000000" w:themeColor="text1"/>
        </w:rPr>
        <w:t xml:space="preserve"> </w:t>
      </w:r>
      <w:r>
        <w:rPr>
          <w:color w:val="000000" w:themeColor="text1"/>
        </w:rPr>
        <w:t>considered</w:t>
      </w:r>
      <w:r w:rsidRPr="00C23B16">
        <w:rPr>
          <w:color w:val="000000" w:themeColor="text1"/>
        </w:rPr>
        <w:t xml:space="preserve"> when providing intimate care</w:t>
      </w:r>
      <w:r>
        <w:rPr>
          <w:color w:val="000000" w:themeColor="text1"/>
        </w:rPr>
        <w:t>. There</w:t>
      </w:r>
      <w:r w:rsidRPr="00C23B16">
        <w:rPr>
          <w:color w:val="000000" w:themeColor="text1"/>
        </w:rPr>
        <w:t xml:space="preserve"> is no requirement in law for there to be more than one person assisting</w:t>
      </w:r>
      <w:r w:rsidRPr="001C2A5E">
        <w:rPr>
          <w:vertAlign w:val="superscript"/>
        </w:rPr>
        <w:footnoteReference w:id="13"/>
      </w:r>
      <w:r w:rsidRPr="00C23B16">
        <w:rPr>
          <w:color w:val="000000" w:themeColor="text1"/>
        </w:rPr>
        <w:t xml:space="preserve">. This should be agreed and reflected in the </w:t>
      </w:r>
      <w:r>
        <w:rPr>
          <w:color w:val="000000" w:themeColor="text1"/>
        </w:rPr>
        <w:t>IHP and risk assessment</w:t>
      </w:r>
      <w:r w:rsidRPr="00C23B16">
        <w:rPr>
          <w:color w:val="000000" w:themeColor="text1"/>
        </w:rPr>
        <w:t>.</w:t>
      </w:r>
    </w:p>
    <w:p w:rsidR="00CA7C86" w:rsidRPr="00C23B16" w:rsidRDefault="00CA7C86" w:rsidP="00CA7C86">
      <w:pPr>
        <w:pStyle w:val="ListParagraph"/>
        <w:numPr>
          <w:ilvl w:val="1"/>
          <w:numId w:val="13"/>
        </w:numPr>
        <w:ind w:left="567" w:hanging="567"/>
        <w:contextualSpacing w:val="0"/>
        <w:rPr>
          <w:color w:val="000000" w:themeColor="text1"/>
        </w:rPr>
      </w:pPr>
      <w:r>
        <w:rPr>
          <w:color w:val="000000" w:themeColor="text1"/>
        </w:rPr>
        <w:t>T</w:t>
      </w:r>
      <w:r w:rsidRPr="00C23B16">
        <w:rPr>
          <w:color w:val="000000" w:themeColor="text1"/>
        </w:rPr>
        <w:t xml:space="preserve">he education setting </w:t>
      </w:r>
      <w:r>
        <w:rPr>
          <w:color w:val="000000" w:themeColor="text1"/>
        </w:rPr>
        <w:t xml:space="preserve">should have </w:t>
      </w:r>
      <w:r w:rsidRPr="00C23B16">
        <w:rPr>
          <w:color w:val="000000" w:themeColor="text1"/>
        </w:rPr>
        <w:t xml:space="preserve">an </w:t>
      </w:r>
      <w:r>
        <w:rPr>
          <w:color w:val="000000" w:themeColor="text1"/>
        </w:rPr>
        <w:t>i</w:t>
      </w:r>
      <w:r w:rsidRPr="00C23B16">
        <w:rPr>
          <w:color w:val="000000" w:themeColor="text1"/>
        </w:rPr>
        <w:t xml:space="preserve">ntimate </w:t>
      </w:r>
      <w:r>
        <w:rPr>
          <w:color w:val="000000" w:themeColor="text1"/>
        </w:rPr>
        <w:t>c</w:t>
      </w:r>
      <w:r w:rsidRPr="00C23B16">
        <w:rPr>
          <w:color w:val="000000" w:themeColor="text1"/>
        </w:rPr>
        <w:t>are policy</w:t>
      </w:r>
      <w:r w:rsidRPr="001C2A5E">
        <w:rPr>
          <w:vertAlign w:val="superscript"/>
        </w:rPr>
        <w:footnoteReference w:id="14"/>
      </w:r>
      <w:r>
        <w:rPr>
          <w:color w:val="000000" w:themeColor="text1"/>
        </w:rPr>
        <w:t>.</w:t>
      </w:r>
      <w:r w:rsidRPr="00C23B16">
        <w:rPr>
          <w:color w:val="000000" w:themeColor="text1"/>
        </w:rPr>
        <w:t xml:space="preserve"> </w:t>
      </w:r>
      <w:r>
        <w:rPr>
          <w:color w:val="000000" w:themeColor="text1"/>
        </w:rPr>
        <w:t>I</w:t>
      </w:r>
      <w:r w:rsidRPr="00C23B16">
        <w:rPr>
          <w:color w:val="000000" w:themeColor="text1"/>
        </w:rPr>
        <w:t>t should be followed, unless alternative arrangements have been agreed</w:t>
      </w:r>
      <w:r>
        <w:rPr>
          <w:color w:val="000000" w:themeColor="text1"/>
        </w:rPr>
        <w:t>,</w:t>
      </w:r>
      <w:r w:rsidRPr="00C23B16">
        <w:rPr>
          <w:color w:val="000000" w:themeColor="text1"/>
        </w:rPr>
        <w:t xml:space="preserve"> and recorded in the learner</w:t>
      </w:r>
      <w:r>
        <w:rPr>
          <w:color w:val="000000" w:themeColor="text1"/>
        </w:rPr>
        <w:t>’</w:t>
      </w:r>
      <w:r w:rsidRPr="00C23B16">
        <w:rPr>
          <w:color w:val="000000" w:themeColor="text1"/>
        </w:rPr>
        <w:t xml:space="preserve">s </w:t>
      </w:r>
      <w:r>
        <w:rPr>
          <w:color w:val="000000" w:themeColor="text1"/>
        </w:rPr>
        <w:t>IHP</w:t>
      </w:r>
      <w:r w:rsidRPr="00C23B16">
        <w:rPr>
          <w:color w:val="000000" w:themeColor="text1"/>
        </w:rPr>
        <w:t>.</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If a learner refuses their medication, staff should record this and follow the</w:t>
      </w:r>
      <w:r>
        <w:rPr>
          <w:color w:val="000000" w:themeColor="text1"/>
        </w:rPr>
        <w:t>ir</w:t>
      </w:r>
      <w:r w:rsidRPr="00C23B16">
        <w:rPr>
          <w:color w:val="000000" w:themeColor="text1"/>
        </w:rPr>
        <w:t xml:space="preserve"> defined procedures informing parents as soon as possible. If a learner misuses any medication, their parents should be informed as soon as possible</w:t>
      </w:r>
      <w:r>
        <w:rPr>
          <w:color w:val="000000" w:themeColor="text1"/>
        </w:rPr>
        <w:t xml:space="preserve">. The </w:t>
      </w:r>
      <w:r w:rsidRPr="00C23B16">
        <w:rPr>
          <w:color w:val="000000" w:themeColor="text1"/>
        </w:rPr>
        <w:t>education setting should ask parents to seek healthcare advice as appropriate. If parents cannot be contacted immediately,</w:t>
      </w:r>
      <w:r>
        <w:rPr>
          <w:color w:val="000000" w:themeColor="text1"/>
        </w:rPr>
        <w:t xml:space="preserve"> </w:t>
      </w:r>
      <w:proofErr w:type="gramStart"/>
      <w:r>
        <w:rPr>
          <w:color w:val="000000" w:themeColor="text1"/>
        </w:rPr>
        <w:t>s</w:t>
      </w:r>
      <w:r w:rsidRPr="00C23B16">
        <w:rPr>
          <w:color w:val="000000" w:themeColor="text1"/>
        </w:rPr>
        <w:t>taff need</w:t>
      </w:r>
      <w:proofErr w:type="gramEnd"/>
      <w:r w:rsidRPr="00C23B16">
        <w:rPr>
          <w:color w:val="000000" w:themeColor="text1"/>
        </w:rPr>
        <w:t xml:space="preserve"> to </w:t>
      </w:r>
      <w:r>
        <w:rPr>
          <w:color w:val="000000" w:themeColor="text1"/>
        </w:rPr>
        <w:t>consider</w:t>
      </w:r>
      <w:r w:rsidRPr="00C23B16">
        <w:rPr>
          <w:color w:val="000000" w:themeColor="text1"/>
        </w:rPr>
        <w:t xml:space="preserve"> </w:t>
      </w:r>
      <w:r>
        <w:rPr>
          <w:color w:val="000000" w:themeColor="text1"/>
        </w:rPr>
        <w:t xml:space="preserve">seeking </w:t>
      </w:r>
      <w:r w:rsidRPr="00C23B16">
        <w:rPr>
          <w:color w:val="000000" w:themeColor="text1"/>
        </w:rPr>
        <w:t>immediate healthcare advice.</w:t>
      </w:r>
    </w:p>
    <w:p w:rsidR="00CA7C86" w:rsidRPr="00C23B16" w:rsidRDefault="00CA7C86" w:rsidP="00CA7C86">
      <w:pPr>
        <w:pStyle w:val="ListParagraph"/>
        <w:numPr>
          <w:ilvl w:val="1"/>
          <w:numId w:val="13"/>
        </w:numPr>
        <w:ind w:left="567" w:hanging="567"/>
        <w:contextualSpacing w:val="0"/>
        <w:rPr>
          <w:color w:val="000000" w:themeColor="text1"/>
        </w:rPr>
      </w:pPr>
      <w:r w:rsidRPr="00C23B16">
        <w:rPr>
          <w:color w:val="000000" w:themeColor="text1"/>
        </w:rPr>
        <w:t xml:space="preserve">Staff involved in the administration of medication should be familiar with </w:t>
      </w:r>
      <w:r>
        <w:rPr>
          <w:color w:val="000000" w:themeColor="text1"/>
        </w:rPr>
        <w:t>how learners consent to</w:t>
      </w:r>
      <w:r w:rsidRPr="00C23B16">
        <w:rPr>
          <w:color w:val="000000" w:themeColor="text1"/>
        </w:rPr>
        <w:t xml:space="preserve"> treatment. Further information on this from the Welsh Government can be found </w:t>
      </w:r>
      <w:r>
        <w:rPr>
          <w:color w:val="000000" w:themeColor="text1"/>
        </w:rPr>
        <w:t xml:space="preserve">in the </w:t>
      </w:r>
      <w:r w:rsidRPr="001C2A5E">
        <w:rPr>
          <w:i/>
          <w:color w:val="000000" w:themeColor="text1"/>
        </w:rPr>
        <w:t>Patient Consent to Examination and Treatment ‒ Revised Guidance</w:t>
      </w:r>
      <w:r>
        <w:rPr>
          <w:color w:val="000000" w:themeColor="text1"/>
        </w:rPr>
        <w:t xml:space="preserve"> (NHS, 2008)</w:t>
      </w:r>
      <w:r>
        <w:rPr>
          <w:rStyle w:val="FootnoteReference"/>
          <w:color w:val="000000" w:themeColor="text1"/>
        </w:rPr>
        <w:footnoteReference w:id="15"/>
      </w:r>
      <w:r>
        <w:rPr>
          <w:color w:val="000000" w:themeColor="text1"/>
        </w:rPr>
        <w:t>.</w:t>
      </w:r>
    </w:p>
    <w:p w:rsidR="00CA7C86" w:rsidRDefault="00CA7C86" w:rsidP="00CA7C86">
      <w:pPr>
        <w:pStyle w:val="ListParagraph"/>
        <w:numPr>
          <w:ilvl w:val="1"/>
          <w:numId w:val="13"/>
        </w:numPr>
        <w:ind w:left="567" w:hanging="567"/>
        <w:contextualSpacing w:val="0"/>
        <w:rPr>
          <w:color w:val="000000" w:themeColor="text1"/>
        </w:rPr>
      </w:pPr>
      <w:r w:rsidRPr="00C23B16">
        <w:rPr>
          <w:color w:val="000000" w:themeColor="text1"/>
        </w:rPr>
        <w:t xml:space="preserve">All staff supporting off-site visits should be made aware of learners who have healthcare needs. They should receive the required information to ensure </w:t>
      </w:r>
      <w:proofErr w:type="gramStart"/>
      <w:r w:rsidRPr="00C23B16">
        <w:rPr>
          <w:color w:val="000000" w:themeColor="text1"/>
        </w:rPr>
        <w:t>staff are</w:t>
      </w:r>
      <w:proofErr w:type="gramEnd"/>
      <w:r w:rsidRPr="00C23B16">
        <w:rPr>
          <w:color w:val="000000" w:themeColor="text1"/>
        </w:rPr>
        <w:t xml:space="preserve"> able to facilitate an equal experience for the learner.</w:t>
      </w:r>
      <w:r>
        <w:rPr>
          <w:color w:val="000000" w:themeColor="text1"/>
        </w:rPr>
        <w:t xml:space="preserve"> </w:t>
      </w:r>
      <w:r w:rsidRPr="00C23B16">
        <w:rPr>
          <w:color w:val="000000" w:themeColor="text1"/>
        </w:rPr>
        <w:t>This information may include health and safety issues, what to do in an emergency and any other additional necessary support</w:t>
      </w:r>
      <w:r>
        <w:rPr>
          <w:color w:val="000000" w:themeColor="text1"/>
        </w:rPr>
        <w:t xml:space="preserve"> that the learner requires</w:t>
      </w:r>
      <w:r w:rsidRPr="00C23B16">
        <w:rPr>
          <w:color w:val="000000" w:themeColor="text1"/>
        </w:rPr>
        <w:t>, including medication and equipment.</w:t>
      </w:r>
    </w:p>
    <w:p w:rsidR="00CA7C86" w:rsidRPr="005A0D72" w:rsidRDefault="00CA7C86" w:rsidP="00CA7C86">
      <w:pPr>
        <w:pStyle w:val="ListParagraph"/>
        <w:ind w:left="567" w:hanging="567"/>
        <w:contextualSpacing w:val="0"/>
        <w:rPr>
          <w:color w:val="000000" w:themeColor="text1"/>
        </w:rPr>
      </w:pPr>
    </w:p>
    <w:p w:rsidR="00CA7C86" w:rsidRPr="00977845" w:rsidRDefault="00CA7C86" w:rsidP="00CA7C86">
      <w:pPr>
        <w:pStyle w:val="Heading2"/>
        <w:keepNext w:val="0"/>
        <w:keepLines w:val="0"/>
        <w:numPr>
          <w:ilvl w:val="1"/>
          <w:numId w:val="6"/>
        </w:numPr>
        <w:spacing w:before="0" w:line="264" w:lineRule="auto"/>
        <w:ind w:left="567" w:hanging="567"/>
        <w:rPr>
          <w:rFonts w:ascii="Arial" w:hAnsi="Arial" w:cs="Arial"/>
          <w:b/>
          <w:color w:val="auto"/>
          <w:u w:val="single"/>
        </w:rPr>
      </w:pPr>
      <w:bookmarkStart w:id="90" w:name="_Toc466331570"/>
      <w:bookmarkStart w:id="91" w:name="_Toc466373008"/>
      <w:bookmarkStart w:id="92" w:name="_Toc426729837"/>
      <w:bookmarkStart w:id="93" w:name="_Toc440373480"/>
      <w:bookmarkStart w:id="94" w:name="_Toc457845462"/>
      <w:bookmarkStart w:id="95" w:name="_Toc457845709"/>
      <w:bookmarkStart w:id="96" w:name="_Toc476002802"/>
      <w:bookmarkEnd w:id="90"/>
      <w:bookmarkEnd w:id="91"/>
      <w:r w:rsidRPr="00977845">
        <w:rPr>
          <w:rFonts w:ascii="Arial" w:hAnsi="Arial" w:cs="Arial"/>
          <w:b/>
          <w:color w:val="auto"/>
          <w:u w:val="single"/>
        </w:rPr>
        <w:t>Emergency procedures</w:t>
      </w:r>
      <w:bookmarkEnd w:id="92"/>
      <w:bookmarkEnd w:id="93"/>
      <w:bookmarkEnd w:id="94"/>
      <w:bookmarkEnd w:id="95"/>
      <w:bookmarkEnd w:id="96"/>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sidRPr="00C23B16">
        <w:rPr>
          <w:color w:val="000000" w:themeColor="text1"/>
        </w:rPr>
        <w:t xml:space="preserve">Governing bodies should ensure </w:t>
      </w:r>
      <w:r>
        <w:rPr>
          <w:color w:val="000000" w:themeColor="text1"/>
        </w:rPr>
        <w:t xml:space="preserve">a policy is in place for handling </w:t>
      </w:r>
      <w:r w:rsidRPr="00C23B16">
        <w:rPr>
          <w:color w:val="000000" w:themeColor="text1"/>
        </w:rPr>
        <w:t>emergency</w:t>
      </w:r>
      <w:r>
        <w:rPr>
          <w:color w:val="000000" w:themeColor="text1"/>
        </w:rPr>
        <w:t xml:space="preserve"> situations.</w:t>
      </w:r>
      <w:r w:rsidRPr="00C23B16">
        <w:rPr>
          <w:color w:val="000000" w:themeColor="text1"/>
        </w:rPr>
        <w:t xml:space="preserve"> </w:t>
      </w:r>
      <w:r>
        <w:rPr>
          <w:color w:val="000000" w:themeColor="text1"/>
        </w:rPr>
        <w:t>Staff should know who is responsible for the policy</w:t>
      </w:r>
      <w:r w:rsidRPr="00C23B16">
        <w:rPr>
          <w:color w:val="000000" w:themeColor="text1"/>
        </w:rPr>
        <w:t>,</w:t>
      </w:r>
      <w:r>
        <w:rPr>
          <w:color w:val="000000" w:themeColor="text1"/>
        </w:rPr>
        <w:t xml:space="preserve"> nominated first aiders and how to deal with</w:t>
      </w:r>
      <w:r w:rsidRPr="00C23B16">
        <w:rPr>
          <w:color w:val="000000" w:themeColor="text1"/>
        </w:rPr>
        <w:t xml:space="preserve"> common healthcare needs. </w:t>
      </w:r>
      <w:r>
        <w:rPr>
          <w:color w:val="000000" w:themeColor="text1"/>
        </w:rPr>
        <w:t xml:space="preserve">In situations requiring emergency assistance, 999 should be called immediately. </w:t>
      </w:r>
      <w:r w:rsidRPr="00C23B16">
        <w:rPr>
          <w:color w:val="000000" w:themeColor="text1"/>
        </w:rPr>
        <w:t xml:space="preserve">The location of </w:t>
      </w:r>
      <w:r>
        <w:rPr>
          <w:color w:val="000000" w:themeColor="text1"/>
        </w:rPr>
        <w:t xml:space="preserve">learners’ </w:t>
      </w:r>
      <w:r w:rsidRPr="00CB25F2">
        <w:rPr>
          <w:color w:val="000000" w:themeColor="text1"/>
        </w:rPr>
        <w:t>healthcare</w:t>
      </w:r>
      <w:r>
        <w:rPr>
          <w:color w:val="000000" w:themeColor="text1"/>
        </w:rPr>
        <w:t xml:space="preserve"> records and</w:t>
      </w:r>
      <w:r w:rsidRPr="00CB25F2">
        <w:rPr>
          <w:color w:val="000000" w:themeColor="text1"/>
        </w:rPr>
        <w:t xml:space="preserve"> </w:t>
      </w:r>
      <w:r>
        <w:rPr>
          <w:color w:val="000000" w:themeColor="text1"/>
        </w:rPr>
        <w:t xml:space="preserve">emergency </w:t>
      </w:r>
      <w:r w:rsidRPr="00C23B16">
        <w:rPr>
          <w:color w:val="000000" w:themeColor="text1"/>
        </w:rPr>
        <w:t>contact details should be known</w:t>
      </w:r>
      <w:r>
        <w:rPr>
          <w:color w:val="000000" w:themeColor="text1"/>
        </w:rPr>
        <w:t xml:space="preserve"> to </w:t>
      </w:r>
      <w:r w:rsidRPr="00C23B16">
        <w:rPr>
          <w:color w:val="000000" w:themeColor="text1"/>
        </w:rPr>
        <w:t>staff.</w:t>
      </w:r>
    </w:p>
    <w:p w:rsidR="00CA7C86" w:rsidRPr="00C23B16" w:rsidRDefault="00CA7C86" w:rsidP="00CA7C86">
      <w:pPr>
        <w:pStyle w:val="ListParagraph"/>
        <w:ind w:left="567" w:hanging="567"/>
        <w:rPr>
          <w:color w:val="000000" w:themeColor="text1"/>
        </w:rPr>
      </w:pPr>
      <w:r w:rsidRPr="00C23B16">
        <w:rPr>
          <w:color w:val="000000" w:themeColor="text1"/>
        </w:rPr>
        <w:t xml:space="preserve"> </w:t>
      </w:r>
      <w:r>
        <w:rPr>
          <w:color w:val="000000" w:themeColor="text1"/>
        </w:rPr>
        <w:t xml:space="preserve"> </w:t>
      </w:r>
    </w:p>
    <w:p w:rsidR="00CA7C86" w:rsidRPr="00C23B16" w:rsidRDefault="00CA7C86" w:rsidP="00CA7C86">
      <w:pPr>
        <w:pStyle w:val="ListParagraph"/>
        <w:ind w:left="0"/>
        <w:rPr>
          <w:color w:val="000000" w:themeColor="text1"/>
        </w:rPr>
      </w:pPr>
      <w:r w:rsidRPr="00C23B16">
        <w:rPr>
          <w:color w:val="000000" w:themeColor="text1"/>
        </w:rPr>
        <w:t xml:space="preserve">Where a learner has an </w:t>
      </w:r>
      <w:r>
        <w:rPr>
          <w:color w:val="000000" w:themeColor="text1"/>
        </w:rPr>
        <w:t>IHP</w:t>
      </w:r>
      <w:r w:rsidRPr="00C23B16">
        <w:rPr>
          <w:color w:val="000000" w:themeColor="text1"/>
        </w:rPr>
        <w:t>, this should clearly define what constitutes an emergency and explain what to do</w:t>
      </w:r>
      <w:r>
        <w:rPr>
          <w:color w:val="000000" w:themeColor="text1"/>
        </w:rPr>
        <w:t>. S</w:t>
      </w:r>
      <w:r w:rsidRPr="00C23B16">
        <w:rPr>
          <w:color w:val="000000" w:themeColor="text1"/>
        </w:rPr>
        <w:t>taff</w:t>
      </w:r>
      <w:r>
        <w:rPr>
          <w:color w:val="000000" w:themeColor="text1"/>
        </w:rPr>
        <w:t xml:space="preserve"> should be made aware of </w:t>
      </w:r>
      <w:r w:rsidRPr="00C23B16">
        <w:rPr>
          <w:color w:val="000000" w:themeColor="text1"/>
        </w:rPr>
        <w:t xml:space="preserve">emergency symptoms and procedures.  </w:t>
      </w:r>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sidRPr="00C23B16">
        <w:rPr>
          <w:color w:val="000000" w:themeColor="text1"/>
        </w:rPr>
        <w:t>Other learners in the education setting should also know what to do in general terms in an emergency, such as</w:t>
      </w:r>
      <w:r>
        <w:rPr>
          <w:color w:val="000000" w:themeColor="text1"/>
        </w:rPr>
        <w:t xml:space="preserve"> to</w:t>
      </w:r>
      <w:r w:rsidRPr="00C23B16">
        <w:rPr>
          <w:color w:val="000000" w:themeColor="text1"/>
        </w:rPr>
        <w:t xml:space="preserve"> inform a member of staff immediately.</w:t>
      </w:r>
      <w:r>
        <w:rPr>
          <w:color w:val="000000" w:themeColor="text1"/>
        </w:rPr>
        <w:t xml:space="preserve"> </w:t>
      </w:r>
      <w:r w:rsidRPr="00C23B16">
        <w:rPr>
          <w:color w:val="000000" w:themeColor="text1"/>
        </w:rPr>
        <w:t>If a learner needs to be taken to hospital, a staff member should stay with the learner until a parent arrives</w:t>
      </w:r>
      <w:r>
        <w:rPr>
          <w:color w:val="000000" w:themeColor="text1"/>
        </w:rPr>
        <w:t>. T</w:t>
      </w:r>
      <w:r w:rsidRPr="00C23B16">
        <w:rPr>
          <w:color w:val="000000" w:themeColor="text1"/>
        </w:rPr>
        <w:t xml:space="preserve">his includes accompanying them in an ambulance to hospital. The member of staff should have details of any known healthcare needs and medication.  </w:t>
      </w:r>
    </w:p>
    <w:p w:rsidR="00CA7C86" w:rsidRPr="00C23B16" w:rsidRDefault="00CA7C86" w:rsidP="00CA7C86">
      <w:pPr>
        <w:pStyle w:val="ListParagraph"/>
        <w:ind w:left="567" w:hanging="567"/>
        <w:rPr>
          <w:color w:val="000000" w:themeColor="text1"/>
        </w:rPr>
      </w:pPr>
    </w:p>
    <w:p w:rsidR="00CA7C86" w:rsidRPr="00977845" w:rsidRDefault="00CA7C86" w:rsidP="00CA7C86">
      <w:pPr>
        <w:pStyle w:val="Heading2"/>
        <w:keepNext w:val="0"/>
        <w:keepLines w:val="0"/>
        <w:numPr>
          <w:ilvl w:val="1"/>
          <w:numId w:val="6"/>
        </w:numPr>
        <w:spacing w:before="0" w:line="264" w:lineRule="auto"/>
        <w:ind w:left="567" w:hanging="567"/>
        <w:rPr>
          <w:rFonts w:ascii="Arial" w:hAnsi="Arial" w:cs="Arial"/>
          <w:b/>
          <w:sz w:val="24"/>
        </w:rPr>
      </w:pPr>
      <w:bookmarkStart w:id="97" w:name="_Toc426729838"/>
      <w:bookmarkStart w:id="98" w:name="_Toc440373481"/>
      <w:bookmarkStart w:id="99" w:name="_Toc457845463"/>
      <w:bookmarkStart w:id="100" w:name="_Toc457845710"/>
      <w:bookmarkStart w:id="101" w:name="_Toc476002803"/>
      <w:r w:rsidRPr="00977845">
        <w:rPr>
          <w:rFonts w:ascii="Arial" w:hAnsi="Arial" w:cs="Arial"/>
          <w:b/>
          <w:color w:val="auto"/>
        </w:rPr>
        <w:t>Training</w:t>
      </w:r>
      <w:bookmarkEnd w:id="97"/>
      <w:bookmarkEnd w:id="98"/>
      <w:bookmarkEnd w:id="99"/>
      <w:bookmarkEnd w:id="100"/>
      <w:bookmarkEnd w:id="101"/>
      <w:r w:rsidRPr="00977845">
        <w:rPr>
          <w:rFonts w:ascii="Arial" w:hAnsi="Arial" w:cs="Arial"/>
          <w:b/>
        </w:rPr>
        <w:br/>
      </w:r>
    </w:p>
    <w:p w:rsidR="00CA7C86" w:rsidRDefault="00CA7C86" w:rsidP="00CA7C86">
      <w:pPr>
        <w:pStyle w:val="ListParagraph"/>
        <w:ind w:left="0"/>
        <w:rPr>
          <w:color w:val="000000" w:themeColor="text1"/>
        </w:rPr>
      </w:pPr>
      <w:r w:rsidRPr="00027510">
        <w:rPr>
          <w:color w:val="000000" w:themeColor="text1"/>
        </w:rPr>
        <w:t xml:space="preserve">Governing bodies </w:t>
      </w:r>
      <w:r>
        <w:rPr>
          <w:color w:val="000000" w:themeColor="text1"/>
        </w:rPr>
        <w:t>must</w:t>
      </w:r>
      <w:r w:rsidRPr="00027510">
        <w:rPr>
          <w:color w:val="000000" w:themeColor="text1"/>
        </w:rPr>
        <w:t xml:space="preserve"> ensure </w:t>
      </w:r>
      <w:proofErr w:type="gramStart"/>
      <w:r w:rsidRPr="00027510">
        <w:rPr>
          <w:color w:val="000000" w:themeColor="text1"/>
        </w:rPr>
        <w:t>staff</w:t>
      </w:r>
      <w:proofErr w:type="gramEnd"/>
      <w:r w:rsidRPr="00027510">
        <w:rPr>
          <w:color w:val="000000" w:themeColor="text1"/>
        </w:rPr>
        <w:t xml:space="preserve"> who volunteer or who are contracted to </w:t>
      </w:r>
      <w:r>
        <w:rPr>
          <w:color w:val="000000" w:themeColor="text1"/>
        </w:rPr>
        <w:t>support those with</w:t>
      </w:r>
      <w:r w:rsidRPr="00027510">
        <w:rPr>
          <w:color w:val="000000" w:themeColor="text1"/>
        </w:rPr>
        <w:t xml:space="preserve"> </w:t>
      </w:r>
      <w:r w:rsidRPr="008B4FB3">
        <w:rPr>
          <w:color w:val="000000" w:themeColor="text1"/>
        </w:rPr>
        <w:t>healthcare needs</w:t>
      </w:r>
      <w:r w:rsidRPr="00027510" w:rsidDel="00AD0B8E">
        <w:rPr>
          <w:color w:val="000000" w:themeColor="text1"/>
        </w:rPr>
        <w:t xml:space="preserve"> </w:t>
      </w:r>
      <w:r w:rsidRPr="00027510">
        <w:rPr>
          <w:color w:val="000000" w:themeColor="text1"/>
        </w:rPr>
        <w:t xml:space="preserve">are provided with appropriate training. </w:t>
      </w:r>
      <w:r w:rsidRPr="00C23B16">
        <w:rPr>
          <w:color w:val="000000" w:themeColor="text1"/>
        </w:rPr>
        <w:t xml:space="preserve">Governing bodies should </w:t>
      </w:r>
      <w:r>
        <w:rPr>
          <w:color w:val="000000" w:themeColor="text1"/>
        </w:rPr>
        <w:t xml:space="preserve">also </w:t>
      </w:r>
      <w:r w:rsidRPr="00C23B16">
        <w:rPr>
          <w:color w:val="000000" w:themeColor="text1"/>
        </w:rPr>
        <w:t xml:space="preserve">ensure their policies clearly set out how </w:t>
      </w:r>
      <w:r>
        <w:rPr>
          <w:color w:val="000000" w:themeColor="text1"/>
        </w:rPr>
        <w:t xml:space="preserve">a sufficient number of these </w:t>
      </w:r>
      <w:r w:rsidRPr="00C23B16">
        <w:rPr>
          <w:color w:val="000000" w:themeColor="text1"/>
        </w:rPr>
        <w:t>staff</w:t>
      </w:r>
      <w:r>
        <w:rPr>
          <w:color w:val="000000" w:themeColor="text1"/>
        </w:rPr>
        <w:t xml:space="preserve"> will be identified and supported.</w:t>
      </w:r>
    </w:p>
    <w:p w:rsidR="00CA7C86" w:rsidRPr="00C23B16" w:rsidRDefault="00CA7C86" w:rsidP="00CA7C86">
      <w:pPr>
        <w:pStyle w:val="ListParagraph"/>
        <w:ind w:left="567" w:hanging="567"/>
        <w:rPr>
          <w:color w:val="000000" w:themeColor="text1"/>
        </w:rPr>
      </w:pPr>
      <w:r>
        <w:rPr>
          <w:color w:val="000000" w:themeColor="text1"/>
        </w:rPr>
        <w:t xml:space="preserve"> </w:t>
      </w:r>
      <w:r w:rsidRPr="00C23B16">
        <w:rPr>
          <w:color w:val="000000" w:themeColor="text1"/>
        </w:rPr>
        <w:t xml:space="preserve"> </w:t>
      </w:r>
    </w:p>
    <w:p w:rsidR="00CA7C86" w:rsidRDefault="00CA7C86" w:rsidP="00CA7C86">
      <w:pPr>
        <w:pStyle w:val="ListParagraph"/>
        <w:ind w:left="0"/>
        <w:rPr>
          <w:color w:val="000000" w:themeColor="text1"/>
        </w:rPr>
      </w:pPr>
      <w:r w:rsidRPr="00C23B16">
        <w:rPr>
          <w:color w:val="000000" w:themeColor="text1"/>
        </w:rPr>
        <w:t xml:space="preserve">When assisting learners with their healthcare needs, it should be recognised that for many interventions no specialist training is required and the role of staff is to facilitate the learner to meet their own healthcare needs. </w:t>
      </w:r>
    </w:p>
    <w:p w:rsidR="00CA7C86" w:rsidRPr="00C23B16" w:rsidRDefault="00CA7C86" w:rsidP="00CA7C86">
      <w:pPr>
        <w:pStyle w:val="ListParagraph"/>
        <w:ind w:left="567" w:hanging="567"/>
        <w:rPr>
          <w:color w:val="000000" w:themeColor="text1"/>
        </w:rPr>
      </w:pPr>
      <w:r w:rsidRPr="00C23B16">
        <w:rPr>
          <w:color w:val="000000" w:themeColor="text1"/>
        </w:rPr>
        <w:t xml:space="preserve"> </w:t>
      </w:r>
    </w:p>
    <w:p w:rsidR="00CA7C86" w:rsidRDefault="00CA7C86" w:rsidP="00CA7C86">
      <w:pPr>
        <w:pStyle w:val="ListParagraph"/>
        <w:ind w:left="0"/>
        <w:rPr>
          <w:color w:val="000000" w:themeColor="text1"/>
        </w:rPr>
      </w:pPr>
      <w:r>
        <w:rPr>
          <w:color w:val="000000" w:themeColor="text1"/>
        </w:rPr>
        <w:t>IHP</w:t>
      </w:r>
      <w:r w:rsidRPr="00C23B16">
        <w:rPr>
          <w:color w:val="000000" w:themeColor="text1"/>
        </w:rPr>
        <w:t xml:space="preserve">s may reflect complex needs requiring staff to have specific information and training. This training may also be in the use of aids such as hearing aids </w:t>
      </w:r>
      <w:r>
        <w:rPr>
          <w:color w:val="000000" w:themeColor="text1"/>
        </w:rPr>
        <w:t xml:space="preserve">(staff could be shown how to </w:t>
      </w:r>
      <w:r w:rsidRPr="00C23B16">
        <w:rPr>
          <w:color w:val="000000" w:themeColor="text1"/>
        </w:rPr>
        <w:t>chang</w:t>
      </w:r>
      <w:r>
        <w:rPr>
          <w:color w:val="000000" w:themeColor="text1"/>
        </w:rPr>
        <w:t>e</w:t>
      </w:r>
      <w:r w:rsidRPr="00C23B16">
        <w:rPr>
          <w:color w:val="000000" w:themeColor="text1"/>
        </w:rPr>
        <w:t xml:space="preserve"> batteries</w:t>
      </w:r>
      <w:r>
        <w:rPr>
          <w:color w:val="000000" w:themeColor="text1"/>
        </w:rPr>
        <w:t>)</w:t>
      </w:r>
      <w:r w:rsidRPr="00C23B16">
        <w:rPr>
          <w:color w:val="000000" w:themeColor="text1"/>
        </w:rPr>
        <w:t xml:space="preserve"> and various adaptive technologies.</w:t>
      </w:r>
      <w:r w:rsidRPr="00795B8E">
        <w:rPr>
          <w:color w:val="000000" w:themeColor="text1"/>
        </w:rPr>
        <w:t xml:space="preserve"> </w:t>
      </w:r>
      <w:r>
        <w:rPr>
          <w:color w:val="000000" w:themeColor="text1"/>
        </w:rPr>
        <w:t>If these have been instigated by health professionals, they can be asked to provide advice suitable for education settings as well as learners and families.</w:t>
      </w:r>
    </w:p>
    <w:p w:rsidR="00CA7C86" w:rsidRPr="00C23B16" w:rsidRDefault="00CA7C86" w:rsidP="00CA7C86">
      <w:pPr>
        <w:pStyle w:val="ListParagraph"/>
        <w:ind w:left="567" w:hanging="567"/>
        <w:rPr>
          <w:color w:val="000000" w:themeColor="text1"/>
        </w:rPr>
      </w:pPr>
    </w:p>
    <w:p w:rsidR="00CA7C86" w:rsidRPr="00C23B16" w:rsidRDefault="00CA7C86" w:rsidP="00CA7C86">
      <w:pPr>
        <w:pStyle w:val="ListParagraph"/>
        <w:ind w:left="0"/>
        <w:rPr>
          <w:color w:val="000000" w:themeColor="text1"/>
        </w:rPr>
      </w:pPr>
      <w:r w:rsidRPr="00C23B16">
        <w:rPr>
          <w:color w:val="000000" w:themeColor="text1"/>
        </w:rPr>
        <w:t>T</w:t>
      </w:r>
      <w:r>
        <w:rPr>
          <w:color w:val="000000" w:themeColor="text1"/>
        </w:rPr>
        <w:t>r</w:t>
      </w:r>
      <w:r w:rsidRPr="00C23B16">
        <w:rPr>
          <w:color w:val="000000" w:themeColor="text1"/>
        </w:rPr>
        <w:t xml:space="preserve">aining provided should be sufficient to ensure </w:t>
      </w:r>
      <w:proofErr w:type="gramStart"/>
      <w:r w:rsidRPr="00C23B16">
        <w:rPr>
          <w:color w:val="000000" w:themeColor="text1"/>
        </w:rPr>
        <w:t>staff are</w:t>
      </w:r>
      <w:proofErr w:type="gramEnd"/>
      <w:r w:rsidRPr="00C23B16">
        <w:rPr>
          <w:color w:val="000000" w:themeColor="text1"/>
        </w:rPr>
        <w:t xml:space="preserve"> competent, have confidence in their ability to support learners</w:t>
      </w:r>
      <w:r>
        <w:rPr>
          <w:color w:val="000000" w:themeColor="text1"/>
        </w:rPr>
        <w:t xml:space="preserve"> </w:t>
      </w:r>
      <w:r w:rsidRPr="00C23B16">
        <w:rPr>
          <w:color w:val="000000" w:themeColor="text1"/>
        </w:rPr>
        <w:t xml:space="preserve">and fulfil </w:t>
      </w:r>
      <w:r>
        <w:rPr>
          <w:color w:val="000000" w:themeColor="text1"/>
        </w:rPr>
        <w:t>IHP</w:t>
      </w:r>
      <w:r w:rsidRPr="00C23B16">
        <w:rPr>
          <w:color w:val="000000" w:themeColor="text1"/>
        </w:rPr>
        <w:t xml:space="preserve"> requirements. Crucially this training should </w:t>
      </w:r>
      <w:r>
        <w:rPr>
          <w:color w:val="000000" w:themeColor="text1"/>
        </w:rPr>
        <w:t>i</w:t>
      </w:r>
      <w:r w:rsidRPr="00C23B16">
        <w:rPr>
          <w:color w:val="000000" w:themeColor="text1"/>
        </w:rPr>
        <w:t xml:space="preserve">nvolve input from the </w:t>
      </w:r>
      <w:r>
        <w:rPr>
          <w:color w:val="000000" w:themeColor="text1"/>
        </w:rPr>
        <w:t>learner and pa</w:t>
      </w:r>
      <w:r w:rsidRPr="00C23B16">
        <w:rPr>
          <w:color w:val="000000" w:themeColor="text1"/>
        </w:rPr>
        <w:t>rents</w:t>
      </w:r>
      <w:r>
        <w:rPr>
          <w:color w:val="000000" w:themeColor="text1"/>
        </w:rPr>
        <w:t>, who of</w:t>
      </w:r>
      <w:r w:rsidRPr="00C23B16">
        <w:rPr>
          <w:color w:val="000000" w:themeColor="text1"/>
        </w:rPr>
        <w:t>ten play a major role in providing information</w:t>
      </w:r>
      <w:r>
        <w:rPr>
          <w:color w:val="000000" w:themeColor="text1"/>
        </w:rPr>
        <w:t xml:space="preserve"> on how </w:t>
      </w:r>
      <w:proofErr w:type="gramStart"/>
      <w:r w:rsidRPr="00C23B16">
        <w:rPr>
          <w:color w:val="000000" w:themeColor="text1"/>
        </w:rPr>
        <w:t>needs</w:t>
      </w:r>
      <w:proofErr w:type="gramEnd"/>
      <w:r w:rsidRPr="00C23B16">
        <w:rPr>
          <w:color w:val="000000" w:themeColor="text1"/>
        </w:rPr>
        <w:t xml:space="preserve"> </w:t>
      </w:r>
      <w:r>
        <w:rPr>
          <w:color w:val="000000" w:themeColor="text1"/>
        </w:rPr>
        <w:t xml:space="preserve">can </w:t>
      </w:r>
      <w:r w:rsidRPr="00C23B16">
        <w:rPr>
          <w:color w:val="000000" w:themeColor="text1"/>
        </w:rPr>
        <w:t xml:space="preserve">be met. However, parents should not be </w:t>
      </w:r>
      <w:r>
        <w:rPr>
          <w:color w:val="000000" w:themeColor="text1"/>
        </w:rPr>
        <w:t xml:space="preserve">solely </w:t>
      </w:r>
      <w:r w:rsidRPr="00C23B16">
        <w:rPr>
          <w:color w:val="000000" w:themeColor="text1"/>
        </w:rPr>
        <w:t xml:space="preserve">relied </w:t>
      </w:r>
      <w:r>
        <w:rPr>
          <w:color w:val="000000" w:themeColor="text1"/>
        </w:rPr>
        <w:t>up</w:t>
      </w:r>
      <w:r w:rsidRPr="00C23B16">
        <w:rPr>
          <w:color w:val="000000" w:themeColor="text1"/>
        </w:rPr>
        <w:t xml:space="preserve">on </w:t>
      </w:r>
      <w:r>
        <w:rPr>
          <w:color w:val="000000" w:themeColor="text1"/>
        </w:rPr>
        <w:t>to provide training about the healthcare</w:t>
      </w:r>
      <w:r w:rsidRPr="00C23B16">
        <w:rPr>
          <w:color w:val="000000" w:themeColor="text1"/>
        </w:rPr>
        <w:t xml:space="preserve"> needs of their child.</w:t>
      </w:r>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sidRPr="00C23B16">
        <w:rPr>
          <w:color w:val="000000" w:themeColor="text1"/>
        </w:rPr>
        <w:t>If a learner has complex needs, input may be needed from healthcare services and the local authority</w:t>
      </w:r>
      <w:r>
        <w:rPr>
          <w:color w:val="000000" w:themeColor="text1"/>
        </w:rPr>
        <w:t xml:space="preserve"> </w:t>
      </w:r>
      <w:r w:rsidRPr="00C23B16">
        <w:rPr>
          <w:color w:val="000000" w:themeColor="text1"/>
        </w:rPr>
        <w:t xml:space="preserve">who will be able to </w:t>
      </w:r>
      <w:proofErr w:type="gramStart"/>
      <w:r w:rsidRPr="00C23B16">
        <w:rPr>
          <w:color w:val="000000" w:themeColor="text1"/>
        </w:rPr>
        <w:t>advise</w:t>
      </w:r>
      <w:proofErr w:type="gramEnd"/>
      <w:r w:rsidRPr="00C23B16">
        <w:rPr>
          <w:color w:val="000000" w:themeColor="text1"/>
        </w:rPr>
        <w:t xml:space="preserve"> </w:t>
      </w:r>
      <w:r>
        <w:rPr>
          <w:color w:val="000000" w:themeColor="text1"/>
        </w:rPr>
        <w:t xml:space="preserve">and signpost to </w:t>
      </w:r>
      <w:r w:rsidRPr="00C23B16">
        <w:rPr>
          <w:color w:val="000000" w:themeColor="text1"/>
        </w:rPr>
        <w:t>further training and support.</w:t>
      </w:r>
    </w:p>
    <w:p w:rsidR="00CA7C86" w:rsidRPr="00C23B16" w:rsidRDefault="00CA7C86" w:rsidP="00CA7C86">
      <w:pPr>
        <w:pStyle w:val="ListParagraph"/>
        <w:ind w:left="567" w:hanging="567"/>
        <w:rPr>
          <w:color w:val="000000" w:themeColor="text1"/>
        </w:rPr>
      </w:pPr>
    </w:p>
    <w:p w:rsidR="00CA7C86" w:rsidRPr="00C23B16" w:rsidRDefault="00CA7C86" w:rsidP="00CA7C86">
      <w:pPr>
        <w:pStyle w:val="ListParagraph"/>
        <w:ind w:left="0"/>
        <w:rPr>
          <w:color w:val="000000" w:themeColor="text1"/>
        </w:rPr>
      </w:pPr>
      <w:r w:rsidRPr="00C23B16">
        <w:rPr>
          <w:color w:val="000000" w:themeColor="text1"/>
        </w:rPr>
        <w:t xml:space="preserve">All staff, irrespective of whether they have volunteered to assist or support learners with healthcare needs, may come into contact with learners who have healthcare needs. It is therefore advisable that all staff </w:t>
      </w:r>
      <w:r>
        <w:rPr>
          <w:color w:val="000000" w:themeColor="text1"/>
        </w:rPr>
        <w:t xml:space="preserve">have </w:t>
      </w:r>
      <w:r w:rsidRPr="00C23B16">
        <w:rPr>
          <w:color w:val="000000" w:themeColor="text1"/>
        </w:rPr>
        <w:t>a basic understanding of common conditions to ensure recogn</w:t>
      </w:r>
      <w:r>
        <w:rPr>
          <w:color w:val="000000" w:themeColor="text1"/>
        </w:rPr>
        <w:t xml:space="preserve">ition of </w:t>
      </w:r>
      <w:r w:rsidRPr="00C23B16">
        <w:rPr>
          <w:color w:val="000000" w:themeColor="text1"/>
        </w:rPr>
        <w:t xml:space="preserve">symptoms and </w:t>
      </w:r>
      <w:r>
        <w:rPr>
          <w:color w:val="000000" w:themeColor="text1"/>
        </w:rPr>
        <w:t>understand where to</w:t>
      </w:r>
      <w:r w:rsidRPr="00C23B16">
        <w:rPr>
          <w:color w:val="000000" w:themeColor="text1"/>
        </w:rPr>
        <w:t xml:space="preserve"> seek </w:t>
      </w:r>
      <w:r>
        <w:rPr>
          <w:color w:val="000000" w:themeColor="text1"/>
        </w:rPr>
        <w:t xml:space="preserve">appropriate </w:t>
      </w:r>
      <w:r w:rsidRPr="00C23B16">
        <w:rPr>
          <w:color w:val="000000" w:themeColor="text1"/>
        </w:rPr>
        <w:t>assistance.</w:t>
      </w:r>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Pr>
          <w:color w:val="000000" w:themeColor="text1"/>
        </w:rPr>
        <w:t>Policies should include a procedure on how to raise awareness of common conditions, a</w:t>
      </w:r>
      <w:r w:rsidRPr="00C23B16">
        <w:rPr>
          <w:color w:val="000000" w:themeColor="text1"/>
        </w:rPr>
        <w:t xml:space="preserve"> healthcare needs policy and </w:t>
      </w:r>
      <w:r>
        <w:rPr>
          <w:color w:val="000000" w:themeColor="text1"/>
        </w:rPr>
        <w:t>staff roles in carrying out</w:t>
      </w:r>
      <w:r w:rsidRPr="00C23B16">
        <w:rPr>
          <w:color w:val="000000" w:themeColor="text1"/>
        </w:rPr>
        <w:t xml:space="preserve"> arrangements. </w:t>
      </w:r>
      <w:r>
        <w:rPr>
          <w:color w:val="000000" w:themeColor="text1"/>
        </w:rPr>
        <w:t>New and temporary staff should especially be made aware of</w:t>
      </w:r>
      <w:r w:rsidRPr="00C23B16">
        <w:rPr>
          <w:color w:val="000000" w:themeColor="text1"/>
        </w:rPr>
        <w:t xml:space="preserve"> what preventative and emergency measures are in place so staff can recognise </w:t>
      </w:r>
      <w:r>
        <w:rPr>
          <w:color w:val="000000" w:themeColor="text1"/>
        </w:rPr>
        <w:t xml:space="preserve">the need for intervention </w:t>
      </w:r>
      <w:r w:rsidRPr="00C23B16">
        <w:rPr>
          <w:color w:val="000000" w:themeColor="text1"/>
        </w:rPr>
        <w:t xml:space="preserve">and </w:t>
      </w:r>
      <w:r>
        <w:rPr>
          <w:color w:val="000000" w:themeColor="text1"/>
        </w:rPr>
        <w:t>re</w:t>
      </w:r>
      <w:r w:rsidRPr="00C23B16">
        <w:rPr>
          <w:color w:val="000000" w:themeColor="text1"/>
        </w:rPr>
        <w:t>act quickly.</w:t>
      </w:r>
    </w:p>
    <w:p w:rsidR="00CA7C86" w:rsidRPr="00C23B16" w:rsidRDefault="00CA7C86" w:rsidP="00CA7C86">
      <w:pPr>
        <w:pStyle w:val="ListParagraph"/>
        <w:ind w:left="567" w:hanging="567"/>
        <w:rPr>
          <w:color w:val="000000" w:themeColor="text1"/>
        </w:rPr>
      </w:pPr>
    </w:p>
    <w:p w:rsidR="00CA7C86" w:rsidRDefault="00CA7C86" w:rsidP="00CA7C86">
      <w:pPr>
        <w:pStyle w:val="ListParagraph"/>
        <w:spacing w:after="200"/>
        <w:ind w:left="0"/>
        <w:rPr>
          <w:color w:val="000000" w:themeColor="text1"/>
        </w:rPr>
      </w:pPr>
      <w:r w:rsidRPr="00C23B16">
        <w:rPr>
          <w:color w:val="000000" w:themeColor="text1"/>
        </w:rPr>
        <w:t xml:space="preserve">If the trained </w:t>
      </w:r>
      <w:proofErr w:type="gramStart"/>
      <w:r w:rsidRPr="00C23B16">
        <w:rPr>
          <w:color w:val="000000" w:themeColor="text1"/>
        </w:rPr>
        <w:t>staff</w:t>
      </w:r>
      <w:proofErr w:type="gramEnd"/>
      <w:r w:rsidRPr="00C23B16">
        <w:rPr>
          <w:color w:val="000000" w:themeColor="text1"/>
        </w:rPr>
        <w:t xml:space="preserve"> who are usually responsible for administering medication are not available, the </w:t>
      </w:r>
      <w:r>
        <w:rPr>
          <w:color w:val="000000" w:themeColor="text1"/>
        </w:rPr>
        <w:t>IHP</w:t>
      </w:r>
      <w:r w:rsidRPr="00C23B16">
        <w:rPr>
          <w:color w:val="000000" w:themeColor="text1"/>
        </w:rPr>
        <w:t xml:space="preserve"> should set out alternative arrangements</w:t>
      </w:r>
      <w:r>
        <w:rPr>
          <w:color w:val="000000" w:themeColor="text1"/>
        </w:rPr>
        <w:t xml:space="preserve">. </w:t>
      </w:r>
      <w:r w:rsidRPr="00C23B16">
        <w:rPr>
          <w:color w:val="000000" w:themeColor="text1"/>
        </w:rPr>
        <w:t>Thi</w:t>
      </w:r>
      <w:r>
        <w:rPr>
          <w:color w:val="000000" w:themeColor="text1"/>
        </w:rPr>
        <w:t>s also</w:t>
      </w:r>
      <w:r w:rsidRPr="00C23B16">
        <w:rPr>
          <w:color w:val="000000" w:themeColor="text1"/>
        </w:rPr>
        <w:t xml:space="preserve"> needs to be addressed in risk assessment and plan</w:t>
      </w:r>
      <w:r>
        <w:rPr>
          <w:color w:val="000000" w:themeColor="text1"/>
        </w:rPr>
        <w:t xml:space="preserve">ning of </w:t>
      </w:r>
      <w:r w:rsidRPr="00C23B16">
        <w:rPr>
          <w:color w:val="000000" w:themeColor="text1"/>
        </w:rPr>
        <w:t>off-site activities.</w:t>
      </w:r>
    </w:p>
    <w:p w:rsidR="00CA7C86" w:rsidRPr="00C23B16" w:rsidRDefault="00CA7C86" w:rsidP="00CA7C86">
      <w:pPr>
        <w:pStyle w:val="ListParagraph"/>
        <w:ind w:left="567" w:hanging="567"/>
        <w:rPr>
          <w:color w:val="000000" w:themeColor="text1"/>
        </w:rPr>
      </w:pPr>
    </w:p>
    <w:p w:rsidR="00CA7C86" w:rsidRPr="00977845" w:rsidRDefault="00CA7C86" w:rsidP="00CA7C86">
      <w:pPr>
        <w:pStyle w:val="Heading2"/>
        <w:keepNext w:val="0"/>
        <w:keepLines w:val="0"/>
        <w:numPr>
          <w:ilvl w:val="1"/>
          <w:numId w:val="6"/>
        </w:numPr>
        <w:spacing w:before="0" w:line="264" w:lineRule="auto"/>
        <w:ind w:left="567" w:hanging="567"/>
        <w:rPr>
          <w:rFonts w:ascii="Arial" w:hAnsi="Arial" w:cs="Arial"/>
          <w:b/>
          <w:color w:val="auto"/>
          <w:u w:val="single"/>
        </w:rPr>
      </w:pPr>
      <w:bookmarkStart w:id="102" w:name="_Toc433889957"/>
      <w:bookmarkStart w:id="103" w:name="_Toc440373484"/>
      <w:bookmarkStart w:id="104" w:name="_Toc457845464"/>
      <w:bookmarkStart w:id="105" w:name="_Toc457845711"/>
      <w:bookmarkStart w:id="106" w:name="_Toc476002804"/>
      <w:r w:rsidRPr="00977845">
        <w:rPr>
          <w:rFonts w:ascii="Arial" w:hAnsi="Arial" w:cs="Arial"/>
          <w:b/>
          <w:color w:val="auto"/>
          <w:u w:val="single"/>
        </w:rPr>
        <w:t>Qualification examinations and national curriculum assessments</w:t>
      </w:r>
      <w:bookmarkEnd w:id="102"/>
      <w:bookmarkEnd w:id="103"/>
      <w:bookmarkEnd w:id="104"/>
      <w:bookmarkEnd w:id="105"/>
      <w:bookmarkEnd w:id="106"/>
    </w:p>
    <w:p w:rsidR="00CA7C86" w:rsidRDefault="00CA7C86" w:rsidP="00CA7C86">
      <w:pPr>
        <w:pStyle w:val="ListParagraph"/>
        <w:ind w:left="567" w:hanging="567"/>
        <w:rPr>
          <w:color w:val="000000" w:themeColor="text1"/>
        </w:rPr>
      </w:pPr>
    </w:p>
    <w:p w:rsidR="00CA7C86" w:rsidRPr="00C23B16" w:rsidRDefault="00CA7C86" w:rsidP="00CA7C86">
      <w:pPr>
        <w:pStyle w:val="ListParagraph"/>
        <w:ind w:left="0"/>
        <w:rPr>
          <w:color w:val="000000" w:themeColor="text1"/>
        </w:rPr>
      </w:pPr>
      <w:r w:rsidRPr="00C23B16">
        <w:rPr>
          <w:color w:val="000000" w:themeColor="text1"/>
        </w:rPr>
        <w:t>Efficient and effective liaison is imperative when learners with healthcare needs are approaching assessments, including those undertaking examinations in hospital</w:t>
      </w:r>
      <w:r>
        <w:rPr>
          <w:color w:val="000000" w:themeColor="text1"/>
        </w:rPr>
        <w:t xml:space="preserve"> or at home</w:t>
      </w:r>
      <w:r w:rsidRPr="00C23B16">
        <w:rPr>
          <w:color w:val="000000" w:themeColor="text1"/>
        </w:rPr>
        <w:t xml:space="preserve">. The coursework element may help </w:t>
      </w:r>
      <w:r>
        <w:rPr>
          <w:color w:val="000000" w:themeColor="text1"/>
        </w:rPr>
        <w:t>learners</w:t>
      </w:r>
      <w:r w:rsidRPr="00C23B16">
        <w:rPr>
          <w:color w:val="000000" w:themeColor="text1"/>
        </w:rPr>
        <w:t xml:space="preserve"> to keep up with their peers. The home and hospital teachers may be able to arrange for concentration on this element to minimise the loss of learning while they are unable to attend. Liaison between the </w:t>
      </w:r>
      <w:r>
        <w:rPr>
          <w:color w:val="000000" w:themeColor="text1"/>
        </w:rPr>
        <w:t>education setting</w:t>
      </w:r>
      <w:r w:rsidRPr="00C23B16">
        <w:rPr>
          <w:color w:val="000000" w:themeColor="text1"/>
        </w:rPr>
        <w:t xml:space="preserve"> and the hospital teacher or home teacher is most important, especially where the learner is moving from </w:t>
      </w:r>
      <w:r>
        <w:rPr>
          <w:color w:val="000000" w:themeColor="text1"/>
        </w:rPr>
        <w:t>education setting</w:t>
      </w:r>
      <w:r w:rsidRPr="00C23B16">
        <w:rPr>
          <w:color w:val="000000" w:themeColor="text1"/>
        </w:rPr>
        <w:t xml:space="preserve"> or home to the hospital on a regular basis. </w:t>
      </w:r>
    </w:p>
    <w:p w:rsidR="00CA7C86" w:rsidRDefault="00CA7C86" w:rsidP="00CA7C86">
      <w:pPr>
        <w:ind w:left="567" w:hanging="567"/>
        <w:rPr>
          <w:color w:val="000000" w:themeColor="text1"/>
        </w:rPr>
      </w:pPr>
    </w:p>
    <w:p w:rsidR="00CA7C86" w:rsidRDefault="00CA7C86" w:rsidP="00CA7C86">
      <w:pPr>
        <w:pStyle w:val="Default"/>
        <w:rPr>
          <w:color w:val="000000" w:themeColor="text1"/>
        </w:rPr>
      </w:pPr>
      <w:r w:rsidRPr="00043A5C">
        <w:rPr>
          <w:color w:val="000000" w:themeColor="text1"/>
        </w:rPr>
        <w:t xml:space="preserve">Awarding bodies may make special arrangements for learners with permanent or </w:t>
      </w:r>
    </w:p>
    <w:p w:rsidR="00CA7C86" w:rsidRPr="001C2A5E" w:rsidRDefault="00CA7C86" w:rsidP="00CA7C86">
      <w:pPr>
        <w:pStyle w:val="Default"/>
        <w:rPr>
          <w:rFonts w:eastAsiaTheme="minorHAnsi"/>
        </w:rPr>
      </w:pPr>
      <w:proofErr w:type="gramStart"/>
      <w:r w:rsidRPr="00043A5C">
        <w:rPr>
          <w:color w:val="000000" w:themeColor="text1"/>
        </w:rPr>
        <w:t>long-term</w:t>
      </w:r>
      <w:proofErr w:type="gramEnd"/>
      <w:r w:rsidRPr="00043A5C">
        <w:rPr>
          <w:color w:val="000000" w:themeColor="text1"/>
        </w:rPr>
        <w:t xml:space="preserve"> disabilities and learning difficulties, </w:t>
      </w:r>
      <w:r>
        <w:rPr>
          <w:color w:val="000000" w:themeColor="text1"/>
        </w:rPr>
        <w:t xml:space="preserve">or </w:t>
      </w:r>
      <w:r w:rsidRPr="00043A5C">
        <w:rPr>
          <w:color w:val="000000" w:themeColor="text1"/>
        </w:rPr>
        <w:t xml:space="preserve">temporary disabilities and illnesses, who are taking public examinations such as GCSEs or A levels. Applications for special arrangements should be submitted by schools to the awarding bodies as early as possible. Full guidance on the range of special arrangements available and the procedures for making applications is given in the Joint Council for Qualifications’ circulars </w:t>
      </w:r>
      <w:r w:rsidRPr="001C2A5E">
        <w:rPr>
          <w:rFonts w:eastAsiaTheme="minorHAnsi"/>
          <w:bCs/>
          <w:i/>
        </w:rPr>
        <w:t>Adjustments for candidates with disabilities and learning difficulties</w:t>
      </w:r>
      <w:r w:rsidRPr="00043A5C">
        <w:rPr>
          <w:color w:val="000000" w:themeColor="text1"/>
        </w:rPr>
        <w:t xml:space="preserve"> </w:t>
      </w:r>
      <w:r>
        <w:rPr>
          <w:color w:val="000000" w:themeColor="text1"/>
        </w:rPr>
        <w:t>(2016)</w:t>
      </w:r>
      <w:r>
        <w:rPr>
          <w:rStyle w:val="FootnoteReference"/>
          <w:color w:val="000000" w:themeColor="text1"/>
        </w:rPr>
        <w:footnoteReference w:id="16"/>
      </w:r>
      <w:r>
        <w:rPr>
          <w:color w:val="000000" w:themeColor="text1"/>
        </w:rPr>
        <w:t xml:space="preserve"> </w:t>
      </w:r>
      <w:r w:rsidRPr="00043A5C">
        <w:rPr>
          <w:color w:val="000000" w:themeColor="text1"/>
        </w:rPr>
        <w:t xml:space="preserve">and </w:t>
      </w:r>
      <w:r w:rsidRPr="001C2A5E">
        <w:rPr>
          <w:i/>
          <w:color w:val="000000" w:themeColor="text1"/>
        </w:rPr>
        <w:t>A guide to the special consideration process</w:t>
      </w:r>
      <w:r>
        <w:rPr>
          <w:color w:val="000000" w:themeColor="text1"/>
        </w:rPr>
        <w:t xml:space="preserve"> (2016)</w:t>
      </w:r>
      <w:r>
        <w:rPr>
          <w:rStyle w:val="FootnoteReference"/>
          <w:color w:val="000000" w:themeColor="text1"/>
        </w:rPr>
        <w:footnoteReference w:id="17"/>
      </w:r>
      <w:r w:rsidRPr="00043A5C">
        <w:rPr>
          <w:color w:val="000000" w:themeColor="text1"/>
        </w:rPr>
        <w:t>, which are both accessible from the Joint Council for Qualifications’ website</w:t>
      </w:r>
      <w:r w:rsidRPr="00043A5C">
        <w:rPr>
          <w:rStyle w:val="FootnoteReference"/>
          <w:color w:val="000000" w:themeColor="text1"/>
        </w:rPr>
        <w:footnoteReference w:id="18"/>
      </w:r>
      <w:r>
        <w:rPr>
          <w:color w:val="000000" w:themeColor="text1"/>
        </w:rPr>
        <w:t>.</w:t>
      </w:r>
    </w:p>
    <w:p w:rsidR="00CA7C86" w:rsidRDefault="00CA7C86" w:rsidP="00CA7C86">
      <w:pPr>
        <w:ind w:left="567" w:hanging="567"/>
      </w:pPr>
    </w:p>
    <w:p w:rsidR="00CA7C86" w:rsidRPr="00951EAD" w:rsidRDefault="00CA7C86" w:rsidP="00CA7C86">
      <w:r w:rsidRPr="00E11B07">
        <w:t>Adjustments, adaptations or additional time for learners taking the National Reading and Numeracy Tests should be based on normal classroom practice for particular needs</w:t>
      </w:r>
      <w:r>
        <w:t>. Teachers are expected to use their professional judgement to support learners</w:t>
      </w:r>
      <w:r w:rsidRPr="00E11B07">
        <w:t>. Guidance is provided in</w:t>
      </w:r>
      <w:r>
        <w:t xml:space="preserve"> the current</w:t>
      </w:r>
      <w:r w:rsidRPr="00E11B07">
        <w:t xml:space="preserve"> </w:t>
      </w:r>
      <w:r w:rsidRPr="00E11B07">
        <w:rPr>
          <w:i/>
        </w:rPr>
        <w:t xml:space="preserve">National Reading and Numeracy Tests </w:t>
      </w:r>
      <w:r>
        <w:rPr>
          <w:i/>
        </w:rPr>
        <w:t>‒</w:t>
      </w:r>
      <w:r w:rsidRPr="00E11B07">
        <w:rPr>
          <w:i/>
        </w:rPr>
        <w:t xml:space="preserve"> Test administration handbook</w:t>
      </w:r>
      <w:r w:rsidRPr="001C2A5E">
        <w:rPr>
          <w:rStyle w:val="FootnoteReference"/>
        </w:rPr>
        <w:footnoteReference w:id="19"/>
      </w:r>
      <w:r>
        <w:t>.</w:t>
      </w:r>
      <w:r w:rsidRPr="00E11B07">
        <w:rPr>
          <w:i/>
        </w:rPr>
        <w:t xml:space="preserve"> </w:t>
      </w:r>
    </w:p>
    <w:p w:rsidR="00CA7C86" w:rsidRPr="00977845" w:rsidRDefault="00CA7C86" w:rsidP="00CA7C86">
      <w:pPr>
        <w:ind w:left="567" w:hanging="567"/>
        <w:rPr>
          <w:b/>
        </w:rPr>
      </w:pPr>
      <w:r w:rsidRPr="00B26B8F" w:rsidDel="00B26B8F">
        <w:rPr>
          <w:color w:val="ED7D31" w:themeColor="accent2"/>
        </w:rPr>
        <w:t xml:space="preserve"> </w:t>
      </w:r>
    </w:p>
    <w:p w:rsidR="00CA7C86" w:rsidRPr="00977845" w:rsidRDefault="00CA7C86" w:rsidP="00CA7C86">
      <w:pPr>
        <w:pStyle w:val="Heading2"/>
        <w:keepNext w:val="0"/>
        <w:keepLines w:val="0"/>
        <w:numPr>
          <w:ilvl w:val="1"/>
          <w:numId w:val="6"/>
        </w:numPr>
        <w:spacing w:before="0"/>
        <w:ind w:left="567" w:hanging="567"/>
        <w:rPr>
          <w:rFonts w:ascii="Arial" w:hAnsi="Arial" w:cs="Arial"/>
          <w:b/>
          <w:color w:val="auto"/>
        </w:rPr>
      </w:pPr>
      <w:bookmarkStart w:id="107" w:name="_Toc440373485"/>
      <w:bookmarkStart w:id="108" w:name="_Toc457845465"/>
      <w:bookmarkStart w:id="109" w:name="_Toc457845712"/>
      <w:bookmarkStart w:id="110" w:name="_Toc476002805"/>
      <w:r w:rsidRPr="00977845">
        <w:rPr>
          <w:rFonts w:ascii="Arial" w:hAnsi="Arial" w:cs="Arial"/>
          <w:b/>
          <w:color w:val="auto"/>
        </w:rPr>
        <w:t xml:space="preserve"> Education other than at school</w:t>
      </w:r>
      <w:bookmarkEnd w:id="107"/>
      <w:bookmarkEnd w:id="108"/>
      <w:bookmarkEnd w:id="109"/>
      <w:r w:rsidRPr="00977845">
        <w:rPr>
          <w:rFonts w:ascii="Arial" w:hAnsi="Arial" w:cs="Arial"/>
          <w:b/>
          <w:color w:val="auto"/>
        </w:rPr>
        <w:t xml:space="preserve"> (EOTAS)</w:t>
      </w:r>
      <w:bookmarkEnd w:id="110"/>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This section describes the support available to learners of compulsory school age who, due to their healthcare needs, may not</w:t>
      </w:r>
      <w:r>
        <w:rPr>
          <w:color w:val="000000" w:themeColor="text1"/>
        </w:rPr>
        <w:t xml:space="preserve"> for any period </w:t>
      </w:r>
      <w:r w:rsidRPr="00C23B16">
        <w:rPr>
          <w:color w:val="000000" w:themeColor="text1"/>
        </w:rPr>
        <w:t xml:space="preserve">attend a mainstream education setting. The support they receive during an episode of illness could be in hospital, </w:t>
      </w:r>
      <w:r>
        <w:rPr>
          <w:color w:val="000000" w:themeColor="text1"/>
        </w:rPr>
        <w:t xml:space="preserve">a PRU </w:t>
      </w:r>
      <w:r w:rsidRPr="00C23B16">
        <w:rPr>
          <w:color w:val="000000" w:themeColor="text1"/>
        </w:rPr>
        <w:t xml:space="preserve">or at home. Local authorities have a duty </w:t>
      </w:r>
      <w:r>
        <w:rPr>
          <w:color w:val="000000" w:themeColor="text1"/>
        </w:rPr>
        <w:t>(</w:t>
      </w:r>
      <w:r w:rsidRPr="00C23B16">
        <w:rPr>
          <w:color w:val="000000" w:themeColor="text1"/>
        </w:rPr>
        <w:t>s</w:t>
      </w:r>
      <w:r>
        <w:rPr>
          <w:color w:val="000000" w:themeColor="text1"/>
        </w:rPr>
        <w:t>ections</w:t>
      </w:r>
      <w:r w:rsidRPr="00C23B16">
        <w:rPr>
          <w:color w:val="000000" w:themeColor="text1"/>
        </w:rPr>
        <w:t xml:space="preserve"> 19(1) and 19(4) of the Education Act 1996) to make arrangements for the provision of suitable education for all children and young people of compulsory school age. </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A learner who is unable to attend </w:t>
      </w:r>
      <w:r>
        <w:rPr>
          <w:color w:val="000000" w:themeColor="text1"/>
        </w:rPr>
        <w:t>their education setting</w:t>
      </w:r>
      <w:r w:rsidRPr="00C23B16">
        <w:rPr>
          <w:color w:val="000000" w:themeColor="text1"/>
        </w:rPr>
        <w:t xml:space="preserve"> because of their healthcare needs should have their educational needs identified, and receive educational support quickly so they continue to be provided with suitable education. This means education suitable to the age, ability, aptitude of the </w:t>
      </w:r>
      <w:r>
        <w:rPr>
          <w:color w:val="000000" w:themeColor="text1"/>
        </w:rPr>
        <w:t>learner</w:t>
      </w:r>
      <w:r w:rsidRPr="00C23B16">
        <w:rPr>
          <w:color w:val="000000" w:themeColor="text1"/>
        </w:rPr>
        <w:t xml:space="preserve"> and any special educational needs </w:t>
      </w:r>
      <w:r>
        <w:rPr>
          <w:color w:val="000000" w:themeColor="text1"/>
        </w:rPr>
        <w:t xml:space="preserve">(SEN) </w:t>
      </w:r>
      <w:r w:rsidRPr="00C23B16">
        <w:rPr>
          <w:color w:val="000000" w:themeColor="text1"/>
        </w:rPr>
        <w:t>th</w:t>
      </w:r>
      <w:r>
        <w:rPr>
          <w:color w:val="000000" w:themeColor="text1"/>
        </w:rPr>
        <w:t xml:space="preserve">ey </w:t>
      </w:r>
      <w:r w:rsidRPr="00C23B16">
        <w:rPr>
          <w:color w:val="000000" w:themeColor="text1"/>
        </w:rPr>
        <w:t>may have.</w:t>
      </w:r>
      <w:r w:rsidRPr="00E91356">
        <w:rPr>
          <w:color w:val="000000" w:themeColor="text1"/>
        </w:rPr>
        <w:t xml:space="preserve"> </w:t>
      </w:r>
      <w:r w:rsidRPr="00C23B16">
        <w:rPr>
          <w:color w:val="000000" w:themeColor="text1"/>
        </w:rPr>
        <w:t xml:space="preserve">The nature of the provision should be </w:t>
      </w:r>
      <w:proofErr w:type="gramStart"/>
      <w:r w:rsidRPr="00C23B16">
        <w:rPr>
          <w:color w:val="000000" w:themeColor="text1"/>
        </w:rPr>
        <w:t>responsive,</w:t>
      </w:r>
      <w:proofErr w:type="gramEnd"/>
      <w:r w:rsidRPr="00C23B16">
        <w:rPr>
          <w:color w:val="000000" w:themeColor="text1"/>
        </w:rPr>
        <w:t xml:space="preserve"> reflect</w:t>
      </w:r>
      <w:r>
        <w:rPr>
          <w:color w:val="000000" w:themeColor="text1"/>
        </w:rPr>
        <w:t>ing</w:t>
      </w:r>
      <w:r w:rsidRPr="00C23B16">
        <w:rPr>
          <w:color w:val="000000" w:themeColor="text1"/>
        </w:rPr>
        <w:t xml:space="preserve"> the needs of</w:t>
      </w:r>
      <w:r>
        <w:rPr>
          <w:color w:val="000000" w:themeColor="text1"/>
        </w:rPr>
        <w:t xml:space="preserve"> </w:t>
      </w:r>
      <w:r w:rsidRPr="00C23B16">
        <w:rPr>
          <w:color w:val="000000" w:themeColor="text1"/>
        </w:rPr>
        <w:t>what may be a changing health status.</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The local authority is unlikely to provide education at home for learners who are ill for very short periods of time, as their education setting should be able to provide appropriate support. However, they should take into account the way in which the absence is likely to affect the learner on </w:t>
      </w:r>
      <w:r>
        <w:rPr>
          <w:color w:val="000000" w:themeColor="text1"/>
        </w:rPr>
        <w:t>their</w:t>
      </w:r>
      <w:r w:rsidRPr="00C23B16">
        <w:rPr>
          <w:color w:val="000000" w:themeColor="text1"/>
        </w:rPr>
        <w:t xml:space="preserve"> return to education. In the case of a short absence (likely to last for less than 15 school days) the learner’s school should provide work to be completed at home, if the learner’s condition permits, and support the learner </w:t>
      </w:r>
      <w:r>
        <w:rPr>
          <w:color w:val="000000" w:themeColor="text1"/>
        </w:rPr>
        <w:t xml:space="preserve">to </w:t>
      </w:r>
      <w:r w:rsidRPr="00C23B16">
        <w:rPr>
          <w:color w:val="000000" w:themeColor="text1"/>
        </w:rPr>
        <w:t xml:space="preserve">catch up on their return. </w:t>
      </w:r>
      <w:r w:rsidRPr="005A7DF5">
        <w:rPr>
          <w:color w:val="000000" w:themeColor="text1"/>
        </w:rPr>
        <w:t xml:space="preserve">The </w:t>
      </w:r>
      <w:r w:rsidRPr="0083272B">
        <w:rPr>
          <w:color w:val="000000" w:themeColor="text1"/>
        </w:rPr>
        <w:t>local authority</w:t>
      </w:r>
      <w:r w:rsidRPr="00896AD7">
        <w:rPr>
          <w:color w:val="000000" w:themeColor="text1"/>
        </w:rPr>
        <w:t xml:space="preserve"> should be ready to make arrangements for learners in cases where it is clear that the learner is likely to be absent from school for a significant period</w:t>
      </w:r>
      <w:r>
        <w:rPr>
          <w:color w:val="000000" w:themeColor="text1"/>
        </w:rPr>
        <w:t>,</w:t>
      </w:r>
      <w:r w:rsidRPr="00896AD7">
        <w:rPr>
          <w:color w:val="000000" w:themeColor="text1"/>
        </w:rPr>
        <w:t xml:space="preserve"> e.g. more than 15 school days, whether consecutive or cumulative over the course of an academic year. </w:t>
      </w:r>
      <w:r w:rsidRPr="00C23B16">
        <w:rPr>
          <w:color w:val="000000" w:themeColor="text1"/>
        </w:rPr>
        <w:t xml:space="preserve">However, the local authority might still need to make arrangements if a shorter absence is anticipated, depending upon the circumstances.  </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Where absences are anticipated or known in advance, close liaison between the school and local authority should enable the </w:t>
      </w:r>
      <w:r>
        <w:rPr>
          <w:color w:val="000000" w:themeColor="text1"/>
        </w:rPr>
        <w:t xml:space="preserve">EOTAS service </w:t>
      </w:r>
      <w:r w:rsidRPr="00C23B16">
        <w:rPr>
          <w:color w:val="000000" w:themeColor="text1"/>
        </w:rPr>
        <w:t>to be provided from the start of absence.</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The local authority should take into account any period of education provided in hospital when considering whether it needs to provide </w:t>
      </w:r>
      <w:r>
        <w:rPr>
          <w:color w:val="000000" w:themeColor="text1"/>
        </w:rPr>
        <w:t xml:space="preserve">EOTAS </w:t>
      </w:r>
      <w:r w:rsidRPr="00C23B16">
        <w:rPr>
          <w:color w:val="000000" w:themeColor="text1"/>
        </w:rPr>
        <w:t>for a learner and what to provide. If the learner has been in hospital and has received tuition there, their curricular progress and experiences may be different to that of their peers in school. Even so, as much continuity as possible should be ensured. The local authority should provide as many lessons as the learner’s condition allows, and as is beneficial, taking into account what is suitable for th</w:t>
      </w:r>
      <w:r>
        <w:rPr>
          <w:color w:val="000000" w:themeColor="text1"/>
        </w:rPr>
        <w:t>e</w:t>
      </w:r>
      <w:r w:rsidRPr="00C23B16">
        <w:rPr>
          <w:color w:val="000000" w:themeColor="text1"/>
        </w:rPr>
        <w:t xml:space="preserve"> learner. It may be necessary to give particular consideration to a learner who is on a course leading to qualifications.</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The local authority should have a written policy regarding </w:t>
      </w:r>
      <w:r>
        <w:rPr>
          <w:color w:val="000000" w:themeColor="text1"/>
        </w:rPr>
        <w:t>EOTAS</w:t>
      </w:r>
      <w:r w:rsidRPr="00C23B16">
        <w:rPr>
          <w:color w:val="000000" w:themeColor="text1"/>
        </w:rPr>
        <w:t xml:space="preserve"> for learners with healthcare needs. Policies should include arrangements for the service and the way it is staffed</w:t>
      </w:r>
      <w:r>
        <w:rPr>
          <w:color w:val="000000" w:themeColor="text1"/>
        </w:rPr>
        <w:t>,</w:t>
      </w:r>
      <w:r w:rsidRPr="00C23B16">
        <w:rPr>
          <w:color w:val="000000" w:themeColor="text1"/>
        </w:rPr>
        <w:t xml:space="preserve"> the timing of the provision</w:t>
      </w:r>
      <w:r>
        <w:rPr>
          <w:color w:val="000000" w:themeColor="text1"/>
        </w:rPr>
        <w:t>,</w:t>
      </w:r>
      <w:r w:rsidRPr="00C23B16">
        <w:rPr>
          <w:color w:val="000000" w:themeColor="text1"/>
        </w:rPr>
        <w:t xml:space="preserve"> and a named person who parents, hospital teachers and others should contact. The policy should make links with related services in the local authority such as those for </w:t>
      </w:r>
      <w:r>
        <w:rPr>
          <w:color w:val="000000" w:themeColor="text1"/>
        </w:rPr>
        <w:t>SEN</w:t>
      </w:r>
      <w:r w:rsidRPr="00C23B16">
        <w:rPr>
          <w:color w:val="000000" w:themeColor="text1"/>
        </w:rPr>
        <w:t xml:space="preserve"> and other local authority support services, educational psychologists, the Education Welfare Service </w:t>
      </w:r>
      <w:r>
        <w:rPr>
          <w:color w:val="000000" w:themeColor="text1"/>
        </w:rPr>
        <w:t xml:space="preserve">(EWS) </w:t>
      </w:r>
      <w:r w:rsidRPr="00C23B16">
        <w:rPr>
          <w:color w:val="000000" w:themeColor="text1"/>
        </w:rPr>
        <w:t xml:space="preserve">and </w:t>
      </w:r>
      <w:r>
        <w:rPr>
          <w:color w:val="000000" w:themeColor="text1"/>
        </w:rPr>
        <w:t>PRUs</w:t>
      </w:r>
      <w:r w:rsidRPr="00C23B16">
        <w:rPr>
          <w:color w:val="000000" w:themeColor="text1"/>
        </w:rPr>
        <w:t>.</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 xml:space="preserve">Monitoring and evaluation of </w:t>
      </w:r>
      <w:r>
        <w:rPr>
          <w:color w:val="000000" w:themeColor="text1"/>
        </w:rPr>
        <w:t>EOTAS</w:t>
      </w:r>
      <w:r w:rsidRPr="00C23B16">
        <w:rPr>
          <w:color w:val="000000" w:themeColor="text1"/>
        </w:rPr>
        <w:t xml:space="preserve"> should form a key element in the local authority’s strategies. </w:t>
      </w:r>
      <w:r>
        <w:rPr>
          <w:color w:val="000000" w:themeColor="text1"/>
        </w:rPr>
        <w:t>It</w:t>
      </w:r>
      <w:r w:rsidRPr="00C23B16">
        <w:rPr>
          <w:color w:val="000000" w:themeColor="text1"/>
        </w:rPr>
        <w:t xml:space="preserve"> should seek to ensure new developments are taken on board, levels of education are of a sufficient standar</w:t>
      </w:r>
      <w:r>
        <w:rPr>
          <w:color w:val="000000" w:themeColor="text1"/>
        </w:rPr>
        <w:t>d</w:t>
      </w:r>
      <w:r w:rsidRPr="00C23B16">
        <w:rPr>
          <w:color w:val="000000" w:themeColor="text1"/>
        </w:rPr>
        <w:t xml:space="preserve"> and provision represents good value for money.  </w:t>
      </w:r>
    </w:p>
    <w:p w:rsidR="00CA7C86" w:rsidRDefault="00CA7C86" w:rsidP="00CA7C86">
      <w:pPr>
        <w:ind w:left="567" w:hanging="567"/>
        <w:rPr>
          <w:color w:val="000000" w:themeColor="text1"/>
        </w:rPr>
      </w:pPr>
    </w:p>
    <w:p w:rsidR="00CA7C86" w:rsidRPr="00E11B07" w:rsidRDefault="00CA7C86" w:rsidP="00CA7C86">
      <w:pPr>
        <w:rPr>
          <w:color w:val="000000" w:themeColor="text1"/>
        </w:rPr>
      </w:pPr>
      <w:r w:rsidRPr="00C23B16">
        <w:rPr>
          <w:color w:val="000000" w:themeColor="text1"/>
        </w:rPr>
        <w:t xml:space="preserve">Cooperation between education, health and administrative staff in hospital is essential. The aim should be to achieve the greatest possible benefit for the child or young person's education and health, which should include the creation of an atmosphere conducive to effective learning. </w:t>
      </w:r>
    </w:p>
    <w:p w:rsidR="00CA7C86" w:rsidRDefault="00CA7C86" w:rsidP="00CA7C86">
      <w:pPr>
        <w:ind w:left="567" w:hanging="567"/>
        <w:rPr>
          <w:color w:val="000000" w:themeColor="text1"/>
        </w:rPr>
      </w:pPr>
    </w:p>
    <w:p w:rsidR="00CA7C86" w:rsidRPr="00C23B16" w:rsidRDefault="00CA7C86" w:rsidP="00CA7C86">
      <w:pPr>
        <w:rPr>
          <w:color w:val="000000" w:themeColor="text1"/>
        </w:rPr>
      </w:pPr>
      <w:r w:rsidRPr="00C23B16">
        <w:rPr>
          <w:color w:val="000000" w:themeColor="text1"/>
        </w:rPr>
        <w:t>Close liaison between home/hospital teachers and mainstream teachers underpins the provision of an effective educational programme for the learners</w:t>
      </w:r>
      <w:r>
        <w:rPr>
          <w:color w:val="000000" w:themeColor="text1"/>
        </w:rPr>
        <w:t>. H</w:t>
      </w:r>
      <w:r w:rsidRPr="00C23B16">
        <w:rPr>
          <w:color w:val="000000" w:themeColor="text1"/>
        </w:rPr>
        <w:t xml:space="preserve">owever, parents can also act as a valuable link. </w:t>
      </w:r>
    </w:p>
    <w:p w:rsidR="00CA7C86" w:rsidRDefault="00CA7C86" w:rsidP="00CA7C86">
      <w:pPr>
        <w:ind w:left="567" w:hanging="567"/>
        <w:rPr>
          <w:color w:val="000000" w:themeColor="text1"/>
        </w:rPr>
      </w:pPr>
    </w:p>
    <w:p w:rsidR="00CA7C86" w:rsidRDefault="00CA7C86" w:rsidP="00CA7C86">
      <w:pPr>
        <w:rPr>
          <w:color w:val="000000" w:themeColor="text1"/>
        </w:rPr>
      </w:pPr>
      <w:r w:rsidRPr="00C23B16">
        <w:rPr>
          <w:color w:val="000000" w:themeColor="text1"/>
        </w:rPr>
        <w:t>Learners with complex healthcare needs may be discharged from hospital with a written care plan</w:t>
      </w:r>
      <w:r>
        <w:rPr>
          <w:color w:val="000000" w:themeColor="text1"/>
        </w:rPr>
        <w:t>. W</w:t>
      </w:r>
      <w:r w:rsidRPr="00C23B16">
        <w:rPr>
          <w:color w:val="000000" w:themeColor="text1"/>
        </w:rPr>
        <w:t xml:space="preserve">here this happens, the written care plan should be integrated into any </w:t>
      </w:r>
      <w:r>
        <w:rPr>
          <w:color w:val="000000" w:themeColor="text1"/>
        </w:rPr>
        <w:t>IHP</w:t>
      </w:r>
      <w:r w:rsidRPr="00C23B16">
        <w:rPr>
          <w:color w:val="000000" w:themeColor="text1"/>
        </w:rPr>
        <w:t>.</w:t>
      </w:r>
    </w:p>
    <w:p w:rsidR="00CA7C86" w:rsidRPr="00977845" w:rsidRDefault="00CA7C86" w:rsidP="00CA7C86">
      <w:pPr>
        <w:ind w:left="567" w:hanging="567"/>
        <w:rPr>
          <w:b/>
        </w:rPr>
      </w:pPr>
    </w:p>
    <w:p w:rsidR="00CA7C86" w:rsidRPr="00977845" w:rsidRDefault="00CA7C86" w:rsidP="00CA7C86">
      <w:pPr>
        <w:pStyle w:val="Heading2"/>
        <w:keepNext w:val="0"/>
        <w:keepLines w:val="0"/>
        <w:numPr>
          <w:ilvl w:val="1"/>
          <w:numId w:val="6"/>
        </w:numPr>
        <w:spacing w:before="0"/>
        <w:ind w:left="567" w:hanging="567"/>
        <w:rPr>
          <w:rFonts w:ascii="Arial" w:hAnsi="Arial" w:cs="Arial"/>
          <w:b/>
          <w:color w:val="auto"/>
        </w:rPr>
      </w:pPr>
      <w:r w:rsidRPr="00977845">
        <w:rPr>
          <w:rFonts w:ascii="Arial" w:hAnsi="Arial" w:cs="Arial"/>
          <w:b/>
          <w:color w:val="auto"/>
        </w:rPr>
        <w:t>School transport</w:t>
      </w:r>
    </w:p>
    <w:p w:rsidR="00CA7C86" w:rsidRDefault="00CA7C86" w:rsidP="00CA7C86">
      <w:pPr>
        <w:ind w:left="567" w:hanging="567"/>
        <w:rPr>
          <w:color w:val="000000" w:themeColor="text1"/>
        </w:rPr>
      </w:pPr>
    </w:p>
    <w:p w:rsidR="00CA7C86" w:rsidRDefault="00CA7C86" w:rsidP="00CA7C86">
      <w:pPr>
        <w:rPr>
          <w:color w:val="000000" w:themeColor="text1"/>
        </w:rPr>
      </w:pPr>
      <w:r w:rsidRPr="00C23B16">
        <w:rPr>
          <w:color w:val="000000" w:themeColor="text1"/>
        </w:rPr>
        <w:t xml:space="preserve">There are statutory duties on local authorities, </w:t>
      </w:r>
      <w:proofErr w:type="spellStart"/>
      <w:r w:rsidR="00B36E2E" w:rsidRPr="00C23B16">
        <w:rPr>
          <w:color w:val="000000" w:themeColor="text1"/>
        </w:rPr>
        <w:t>Head</w:t>
      </w:r>
      <w:r w:rsidR="00B36E2E">
        <w:rPr>
          <w:color w:val="000000" w:themeColor="text1"/>
        </w:rPr>
        <w:t>t</w:t>
      </w:r>
      <w:r w:rsidR="00B36E2E" w:rsidRPr="00C23B16">
        <w:rPr>
          <w:color w:val="000000" w:themeColor="text1"/>
        </w:rPr>
        <w:t>eacher</w:t>
      </w:r>
      <w:r w:rsidR="00B36E2E">
        <w:rPr>
          <w:color w:val="000000" w:themeColor="text1"/>
        </w:rPr>
        <w:t>s</w:t>
      </w:r>
      <w:proofErr w:type="spellEnd"/>
      <w:r w:rsidRPr="00C23B16">
        <w:rPr>
          <w:color w:val="000000" w:themeColor="text1"/>
        </w:rPr>
        <w:t xml:space="preserve"> and governing bodies in relation to learners travelling to the place where they receive their education or training</w:t>
      </w:r>
      <w:r w:rsidRPr="001C2A5E">
        <w:rPr>
          <w:rStyle w:val="FootnoteReference"/>
          <w:color w:val="000000" w:themeColor="text1"/>
        </w:rPr>
        <w:footnoteReference w:id="20"/>
      </w:r>
      <w:r>
        <w:rPr>
          <w:color w:val="000000" w:themeColor="text1"/>
        </w:rPr>
        <w:t>.</w:t>
      </w:r>
      <w:r w:rsidRPr="00C23B16">
        <w:rPr>
          <w:color w:val="000000" w:themeColor="text1"/>
        </w:rPr>
        <w:t xml:space="preserve"> For example, depending upon the circumstances, local authorities may need to arrange home</w:t>
      </w:r>
      <w:r>
        <w:rPr>
          <w:color w:val="000000" w:themeColor="text1"/>
        </w:rPr>
        <w:t>-</w:t>
      </w:r>
      <w:r w:rsidRPr="00C23B16">
        <w:rPr>
          <w:color w:val="000000" w:themeColor="text1"/>
        </w:rPr>
        <w:t>to</w:t>
      </w:r>
      <w:r>
        <w:rPr>
          <w:color w:val="000000" w:themeColor="text1"/>
        </w:rPr>
        <w:t>-</w:t>
      </w:r>
      <w:r w:rsidRPr="00C23B16">
        <w:rPr>
          <w:color w:val="000000" w:themeColor="text1"/>
        </w:rPr>
        <w:t xml:space="preserve">school transport for a learner, or provide appropriately trained escorts for such journeys to facilitate the attendance of a learner. Information and guidance on this is set out in the </w:t>
      </w:r>
      <w:r w:rsidRPr="00C23B16">
        <w:rPr>
          <w:i/>
          <w:color w:val="000000" w:themeColor="text1"/>
        </w:rPr>
        <w:t>Learner Travel: Statutory Provision and Operational Guidance</w:t>
      </w:r>
      <w:r w:rsidRPr="00C23B16">
        <w:rPr>
          <w:color w:val="000000" w:themeColor="text1"/>
        </w:rPr>
        <w:t xml:space="preserve"> (2014) document</w:t>
      </w:r>
      <w:r w:rsidRPr="001C2A5E">
        <w:rPr>
          <w:rStyle w:val="FootnoteReference"/>
          <w:color w:val="000000" w:themeColor="text1"/>
        </w:rPr>
        <w:footnoteReference w:id="21"/>
      </w:r>
      <w:r w:rsidRPr="00C23B16">
        <w:rPr>
          <w:color w:val="000000" w:themeColor="text1"/>
        </w:rPr>
        <w:t>.</w:t>
      </w:r>
    </w:p>
    <w:p w:rsidR="00CA7C86" w:rsidRPr="00C23B16" w:rsidRDefault="00CA7C86" w:rsidP="00CA7C86">
      <w:pPr>
        <w:ind w:left="567" w:hanging="567"/>
        <w:rPr>
          <w:color w:val="000000" w:themeColor="text1"/>
        </w:rPr>
      </w:pPr>
      <w:r w:rsidRPr="00C23B16">
        <w:rPr>
          <w:color w:val="000000" w:themeColor="text1"/>
        </w:rPr>
        <w:t xml:space="preserve"> </w:t>
      </w:r>
    </w:p>
    <w:p w:rsidR="00CA7C86" w:rsidRPr="00977845" w:rsidRDefault="00CA7C86" w:rsidP="00CA7C86">
      <w:pPr>
        <w:pStyle w:val="Heading2"/>
        <w:keepNext w:val="0"/>
        <w:keepLines w:val="0"/>
        <w:numPr>
          <w:ilvl w:val="1"/>
          <w:numId w:val="6"/>
        </w:numPr>
        <w:spacing w:before="0"/>
        <w:ind w:left="567" w:hanging="567"/>
        <w:rPr>
          <w:rFonts w:ascii="Arial" w:hAnsi="Arial" w:cs="Arial"/>
          <w:b/>
          <w:color w:val="auto"/>
        </w:rPr>
      </w:pPr>
      <w:bookmarkStart w:id="111" w:name="_Toc426729843"/>
      <w:bookmarkStart w:id="112" w:name="_Toc440373491"/>
      <w:bookmarkStart w:id="113" w:name="_Toc457845471"/>
      <w:bookmarkStart w:id="114" w:name="_Toc457845718"/>
      <w:bookmarkStart w:id="115" w:name="_Toc476002810"/>
      <w:r>
        <w:t xml:space="preserve"> </w:t>
      </w:r>
      <w:r w:rsidRPr="00977845">
        <w:rPr>
          <w:rFonts w:ascii="Arial" w:hAnsi="Arial" w:cs="Arial"/>
          <w:b/>
          <w:color w:val="auto"/>
        </w:rPr>
        <w:t>Reviewing policies, arrangements</w:t>
      </w:r>
      <w:bookmarkEnd w:id="111"/>
      <w:r w:rsidRPr="00977845">
        <w:rPr>
          <w:rFonts w:ascii="Arial" w:hAnsi="Arial" w:cs="Arial"/>
          <w:b/>
          <w:color w:val="auto"/>
        </w:rPr>
        <w:t xml:space="preserve"> and procedures</w:t>
      </w:r>
      <w:bookmarkEnd w:id="112"/>
      <w:bookmarkEnd w:id="113"/>
      <w:bookmarkEnd w:id="114"/>
      <w:bookmarkEnd w:id="115"/>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sidRPr="00C23B16">
        <w:rPr>
          <w:color w:val="000000" w:themeColor="text1"/>
        </w:rPr>
        <w:t xml:space="preserve">Governing bodies should ensure all </w:t>
      </w:r>
      <w:proofErr w:type="gramStart"/>
      <w:r w:rsidRPr="00C23B16">
        <w:rPr>
          <w:color w:val="000000" w:themeColor="text1"/>
        </w:rPr>
        <w:t>policies</w:t>
      </w:r>
      <w:r>
        <w:rPr>
          <w:color w:val="000000" w:themeColor="text1"/>
        </w:rPr>
        <w:t>,</w:t>
      </w:r>
      <w:proofErr w:type="gramEnd"/>
      <w:r w:rsidRPr="00C23B16">
        <w:rPr>
          <w:color w:val="000000" w:themeColor="text1"/>
        </w:rPr>
        <w:t xml:space="preserve"> arrangements and procedures are reviewed</w:t>
      </w:r>
      <w:r w:rsidRPr="00857F43">
        <w:rPr>
          <w:color w:val="000000" w:themeColor="text1"/>
        </w:rPr>
        <w:t xml:space="preserve"> </w:t>
      </w:r>
      <w:r w:rsidRPr="00C23B16">
        <w:rPr>
          <w:color w:val="000000" w:themeColor="text1"/>
        </w:rPr>
        <w:t>regularly</w:t>
      </w:r>
      <w:r>
        <w:rPr>
          <w:color w:val="000000" w:themeColor="text1"/>
        </w:rPr>
        <w:t xml:space="preserve"> by the education setting.</w:t>
      </w:r>
      <w:r w:rsidRPr="00C23B16">
        <w:rPr>
          <w:color w:val="000000" w:themeColor="text1"/>
        </w:rPr>
        <w:t xml:space="preserve"> IHPs may require frequent reviews depending on the healthcare need</w:t>
      </w:r>
      <w:r>
        <w:rPr>
          <w:color w:val="000000" w:themeColor="text1"/>
        </w:rPr>
        <w:t xml:space="preserve"> – this s</w:t>
      </w:r>
      <w:r w:rsidRPr="00C23B16">
        <w:rPr>
          <w:color w:val="000000" w:themeColor="text1"/>
        </w:rPr>
        <w:t>hould involve all key stakeholders including</w:t>
      </w:r>
      <w:r>
        <w:rPr>
          <w:color w:val="000000" w:themeColor="text1"/>
        </w:rPr>
        <w:t>,</w:t>
      </w:r>
      <w:r w:rsidRPr="00C23B16">
        <w:rPr>
          <w:color w:val="000000" w:themeColor="text1"/>
        </w:rPr>
        <w:t xml:space="preserve"> </w:t>
      </w:r>
      <w:r>
        <w:rPr>
          <w:color w:val="000000" w:themeColor="text1"/>
        </w:rPr>
        <w:t>where appropriate, the learner,</w:t>
      </w:r>
      <w:r w:rsidRPr="00C23B16">
        <w:rPr>
          <w:color w:val="000000" w:themeColor="text1"/>
        </w:rPr>
        <w:t xml:space="preserve"> parents, </w:t>
      </w:r>
      <w:r>
        <w:rPr>
          <w:color w:val="000000" w:themeColor="text1"/>
        </w:rPr>
        <w:t>education and health professionals</w:t>
      </w:r>
      <w:r w:rsidRPr="00C23B16">
        <w:rPr>
          <w:color w:val="000000" w:themeColor="text1"/>
        </w:rPr>
        <w:t xml:space="preserve"> and other relevant bodies. </w:t>
      </w:r>
    </w:p>
    <w:p w:rsidR="00CA7C86" w:rsidRDefault="00CA7C86" w:rsidP="00CA7C86">
      <w:pPr>
        <w:ind w:left="567" w:hanging="567"/>
        <w:rPr>
          <w:b/>
          <w:color w:val="000000" w:themeColor="text1"/>
          <w:sz w:val="28"/>
        </w:rPr>
      </w:pPr>
      <w:bookmarkStart w:id="116" w:name="_Toc457845472"/>
      <w:bookmarkStart w:id="117" w:name="_Toc457845599"/>
      <w:bookmarkStart w:id="118" w:name="_Toc457845719"/>
      <w:bookmarkStart w:id="119" w:name="_Toc457845780"/>
      <w:bookmarkStart w:id="120" w:name="_Toc457845840"/>
      <w:bookmarkStart w:id="121" w:name="_Toc440373492"/>
      <w:bookmarkStart w:id="122" w:name="_Toc457845473"/>
      <w:bookmarkStart w:id="123" w:name="_Toc457845720"/>
      <w:bookmarkEnd w:id="116"/>
      <w:bookmarkEnd w:id="117"/>
      <w:bookmarkEnd w:id="118"/>
      <w:bookmarkEnd w:id="119"/>
      <w:bookmarkEnd w:id="120"/>
    </w:p>
    <w:p w:rsidR="00CA7C86" w:rsidRDefault="00CA7C86" w:rsidP="00CA7C86">
      <w:pPr>
        <w:ind w:left="567" w:hanging="567"/>
        <w:rPr>
          <w:b/>
          <w:color w:val="000000" w:themeColor="text1"/>
          <w:sz w:val="28"/>
        </w:rPr>
      </w:pPr>
    </w:p>
    <w:p w:rsidR="00CA7C86" w:rsidRPr="00977845" w:rsidRDefault="00CA7C86" w:rsidP="00CA7C86">
      <w:pPr>
        <w:pStyle w:val="Heading2"/>
        <w:keepNext w:val="0"/>
        <w:keepLines w:val="0"/>
        <w:numPr>
          <w:ilvl w:val="1"/>
          <w:numId w:val="6"/>
        </w:numPr>
        <w:spacing w:before="0"/>
        <w:ind w:left="567" w:hanging="567"/>
        <w:rPr>
          <w:rFonts w:ascii="Arial" w:hAnsi="Arial" w:cs="Arial"/>
          <w:b/>
        </w:rPr>
      </w:pPr>
      <w:bookmarkStart w:id="124" w:name="_Toc476002811"/>
      <w:r>
        <w:t xml:space="preserve"> </w:t>
      </w:r>
      <w:r w:rsidRPr="00977845">
        <w:rPr>
          <w:rFonts w:ascii="Arial" w:hAnsi="Arial" w:cs="Arial"/>
          <w:b/>
          <w:color w:val="auto"/>
        </w:rPr>
        <w:t>Insurance arrangements</w:t>
      </w:r>
      <w:bookmarkEnd w:id="121"/>
      <w:bookmarkEnd w:id="122"/>
      <w:bookmarkEnd w:id="123"/>
      <w:bookmarkEnd w:id="124"/>
    </w:p>
    <w:p w:rsidR="00CA7C86" w:rsidRDefault="00CA7C86" w:rsidP="00CA7C86">
      <w:pPr>
        <w:pStyle w:val="ListParagraph"/>
        <w:ind w:left="567" w:hanging="567"/>
        <w:rPr>
          <w:color w:val="000000" w:themeColor="text1"/>
        </w:rPr>
      </w:pPr>
    </w:p>
    <w:p w:rsidR="00CA7C86" w:rsidRPr="00C23B16" w:rsidRDefault="00CA7C86" w:rsidP="00CA7C86">
      <w:pPr>
        <w:pStyle w:val="ListParagraph"/>
        <w:ind w:left="0"/>
        <w:rPr>
          <w:color w:val="000000" w:themeColor="text1"/>
        </w:rPr>
      </w:pPr>
      <w:r w:rsidRPr="00C23B16">
        <w:rPr>
          <w:color w:val="000000" w:themeColor="text1"/>
        </w:rPr>
        <w:t xml:space="preserve">Governing bodies of </w:t>
      </w:r>
      <w:r>
        <w:rPr>
          <w:color w:val="000000" w:themeColor="text1"/>
        </w:rPr>
        <w:t>maintained education settings</w:t>
      </w:r>
      <w:r w:rsidRPr="00C23B16">
        <w:rPr>
          <w:color w:val="000000" w:themeColor="text1"/>
        </w:rPr>
        <w:t xml:space="preserve"> should ensure an appropriate level of insurance </w:t>
      </w:r>
      <w:r>
        <w:rPr>
          <w:color w:val="000000" w:themeColor="text1"/>
        </w:rPr>
        <w:t xml:space="preserve">is in place </w:t>
      </w:r>
      <w:r w:rsidRPr="00C23B16">
        <w:rPr>
          <w:color w:val="000000" w:themeColor="text1"/>
        </w:rPr>
        <w:t>to cover the setting’s activities in supporting learners with healthcare needs. The level of insurance should appropriately reflect the level of risk. Additional cover may need to be arranged for some activities</w:t>
      </w:r>
      <w:r>
        <w:rPr>
          <w:color w:val="000000" w:themeColor="text1"/>
        </w:rPr>
        <w:t>,</w:t>
      </w:r>
      <w:r w:rsidRPr="00C23B16">
        <w:rPr>
          <w:color w:val="000000" w:themeColor="text1"/>
        </w:rPr>
        <w:t xml:space="preserve"> e.g. off-site activities for learners with particular needs.  </w:t>
      </w:r>
    </w:p>
    <w:p w:rsidR="00CA7C86" w:rsidRPr="00C23B16" w:rsidRDefault="00CA7C86" w:rsidP="00CA7C86">
      <w:pPr>
        <w:pStyle w:val="ListParagraph"/>
        <w:ind w:left="567" w:hanging="567"/>
        <w:rPr>
          <w:bCs/>
          <w:color w:val="000000" w:themeColor="text1"/>
          <w:sz w:val="23"/>
          <w:szCs w:val="23"/>
        </w:rPr>
      </w:pPr>
    </w:p>
    <w:p w:rsidR="00CA7C86" w:rsidRPr="00977845" w:rsidRDefault="00CA7C86" w:rsidP="00CA7C86">
      <w:pPr>
        <w:pStyle w:val="Heading2"/>
        <w:keepNext w:val="0"/>
        <w:keepLines w:val="0"/>
        <w:numPr>
          <w:ilvl w:val="1"/>
          <w:numId w:val="6"/>
        </w:numPr>
        <w:spacing w:before="0"/>
        <w:ind w:left="567" w:hanging="567"/>
        <w:rPr>
          <w:rFonts w:ascii="Arial" w:hAnsi="Arial" w:cs="Arial"/>
          <w:b/>
        </w:rPr>
      </w:pPr>
      <w:bookmarkStart w:id="125" w:name="_Toc440373493"/>
      <w:bookmarkStart w:id="126" w:name="_Toc457845474"/>
      <w:bookmarkStart w:id="127" w:name="_Toc457845721"/>
      <w:bookmarkStart w:id="128" w:name="_Toc476002812"/>
      <w:r>
        <w:t xml:space="preserve"> </w:t>
      </w:r>
      <w:r w:rsidRPr="00977845">
        <w:rPr>
          <w:rFonts w:ascii="Arial" w:hAnsi="Arial" w:cs="Arial"/>
          <w:b/>
          <w:color w:val="auto"/>
        </w:rPr>
        <w:t>Complaints procedure</w:t>
      </w:r>
      <w:bookmarkEnd w:id="125"/>
      <w:bookmarkEnd w:id="126"/>
      <w:bookmarkEnd w:id="127"/>
      <w:bookmarkEnd w:id="128"/>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sidRPr="00C23B16">
        <w:rPr>
          <w:color w:val="000000" w:themeColor="text1"/>
        </w:rPr>
        <w:t>If the learner</w:t>
      </w:r>
      <w:r>
        <w:rPr>
          <w:color w:val="000000" w:themeColor="text1"/>
        </w:rPr>
        <w:t xml:space="preserve"> or parent is</w:t>
      </w:r>
      <w:r w:rsidRPr="00C23B16">
        <w:rPr>
          <w:color w:val="000000" w:themeColor="text1"/>
        </w:rPr>
        <w:t xml:space="preserve"> not satisfied with the education setting’s</w:t>
      </w:r>
      <w:r>
        <w:rPr>
          <w:color w:val="000000" w:themeColor="text1"/>
        </w:rPr>
        <w:t xml:space="preserve"> health care</w:t>
      </w:r>
      <w:r w:rsidRPr="00C23B16">
        <w:rPr>
          <w:color w:val="000000" w:themeColor="text1"/>
        </w:rPr>
        <w:t xml:space="preserve"> arrangements</w:t>
      </w:r>
      <w:r>
        <w:rPr>
          <w:color w:val="000000" w:themeColor="text1"/>
        </w:rPr>
        <w:t xml:space="preserve"> </w:t>
      </w:r>
      <w:r w:rsidRPr="00C23B16">
        <w:rPr>
          <w:color w:val="000000" w:themeColor="text1"/>
        </w:rPr>
        <w:t>they are entitled to make a complaint. The governing body must publicise their formal complaints procedure</w:t>
      </w:r>
      <w:r w:rsidRPr="001C2A5E">
        <w:rPr>
          <w:rStyle w:val="FootnoteReference"/>
          <w:color w:val="000000" w:themeColor="text1"/>
        </w:rPr>
        <w:footnoteReference w:id="22"/>
      </w:r>
      <w:r>
        <w:rPr>
          <w:color w:val="000000" w:themeColor="text1"/>
        </w:rPr>
        <w:t>,</w:t>
      </w:r>
      <w:r w:rsidRPr="00C23B16">
        <w:rPr>
          <w:color w:val="000000" w:themeColor="text1"/>
        </w:rPr>
        <w:t xml:space="preserve"> </w:t>
      </w:r>
      <w:r>
        <w:rPr>
          <w:color w:val="000000" w:themeColor="text1"/>
        </w:rPr>
        <w:t xml:space="preserve">including how complaints can be escalated from teacher to </w:t>
      </w:r>
      <w:proofErr w:type="spellStart"/>
      <w:r>
        <w:rPr>
          <w:color w:val="000000" w:themeColor="text1"/>
        </w:rPr>
        <w:t>headteacher</w:t>
      </w:r>
      <w:proofErr w:type="spellEnd"/>
      <w:r>
        <w:rPr>
          <w:color w:val="000000" w:themeColor="text1"/>
        </w:rPr>
        <w:t xml:space="preserve">, then to the </w:t>
      </w:r>
      <w:r w:rsidRPr="0060654F">
        <w:rPr>
          <w:color w:val="000000" w:themeColor="text1"/>
        </w:rPr>
        <w:t>governing body</w:t>
      </w:r>
      <w:r>
        <w:rPr>
          <w:color w:val="000000" w:themeColor="text1"/>
        </w:rPr>
        <w:t xml:space="preserve">, and then to the local authority. </w:t>
      </w:r>
      <w:r w:rsidRPr="00C23B16">
        <w:rPr>
          <w:color w:val="000000" w:themeColor="text1"/>
        </w:rPr>
        <w:t>The complaints procedure should also be summarised in the</w:t>
      </w:r>
      <w:r>
        <w:rPr>
          <w:color w:val="000000" w:themeColor="text1"/>
        </w:rPr>
        <w:t>ir</w:t>
      </w:r>
      <w:r w:rsidRPr="00C23B16">
        <w:rPr>
          <w:color w:val="000000" w:themeColor="text1"/>
        </w:rPr>
        <w:t xml:space="preserve"> </w:t>
      </w:r>
      <w:r>
        <w:rPr>
          <w:color w:val="000000" w:themeColor="text1"/>
        </w:rPr>
        <w:t>policy</w:t>
      </w:r>
      <w:r w:rsidRPr="00C23B16">
        <w:rPr>
          <w:color w:val="000000" w:themeColor="text1"/>
        </w:rPr>
        <w:t xml:space="preserve"> for supporting learners with healthcare needs.</w:t>
      </w:r>
    </w:p>
    <w:p w:rsidR="00CA7C86" w:rsidRDefault="00CA7C86" w:rsidP="00CA7C86">
      <w:pPr>
        <w:pStyle w:val="ListParagraph"/>
        <w:ind w:left="567" w:hanging="567"/>
        <w:rPr>
          <w:color w:val="000000" w:themeColor="text1"/>
        </w:rPr>
      </w:pPr>
    </w:p>
    <w:p w:rsidR="00CA7C86" w:rsidRDefault="00CA7C86" w:rsidP="00CA7C86">
      <w:pPr>
        <w:pStyle w:val="ListParagraph"/>
        <w:ind w:left="0"/>
        <w:rPr>
          <w:color w:val="000000" w:themeColor="text1"/>
        </w:rPr>
      </w:pPr>
      <w:r>
        <w:rPr>
          <w:color w:val="000000" w:themeColor="text1"/>
        </w:rPr>
        <w:t xml:space="preserve">If the </w:t>
      </w:r>
      <w:r w:rsidRPr="00731195">
        <w:rPr>
          <w:color w:val="000000" w:themeColor="text1"/>
        </w:rPr>
        <w:t>complaint</w:t>
      </w:r>
      <w:r w:rsidRPr="00FA41D7">
        <w:rPr>
          <w:color w:val="000000" w:themeColor="text1"/>
        </w:rPr>
        <w:t xml:space="preserve"> </w:t>
      </w:r>
      <w:r>
        <w:rPr>
          <w:color w:val="000000" w:themeColor="text1"/>
        </w:rPr>
        <w:t xml:space="preserve">is </w:t>
      </w:r>
      <w:r w:rsidRPr="00FA41D7">
        <w:rPr>
          <w:color w:val="000000" w:themeColor="text1"/>
        </w:rPr>
        <w:t>Equality Act</w:t>
      </w:r>
      <w:r>
        <w:rPr>
          <w:color w:val="000000" w:themeColor="text1"/>
        </w:rPr>
        <w:t xml:space="preserve"> 2010-/</w:t>
      </w:r>
      <w:r w:rsidRPr="00FA41D7">
        <w:rPr>
          <w:color w:val="000000" w:themeColor="text1"/>
        </w:rPr>
        <w:t>disability</w:t>
      </w:r>
      <w:r>
        <w:rPr>
          <w:color w:val="000000" w:themeColor="text1"/>
        </w:rPr>
        <w:t>-related</w:t>
      </w:r>
      <w:r w:rsidRPr="00FA41D7">
        <w:rPr>
          <w:color w:val="000000" w:themeColor="text1"/>
        </w:rPr>
        <w:t xml:space="preserve">, then </w:t>
      </w:r>
      <w:r>
        <w:rPr>
          <w:color w:val="000000" w:themeColor="text1"/>
        </w:rPr>
        <w:t>consideration of a challenge</w:t>
      </w:r>
      <w:r w:rsidRPr="00FA41D7">
        <w:rPr>
          <w:color w:val="000000" w:themeColor="text1"/>
        </w:rPr>
        <w:t xml:space="preserve"> </w:t>
      </w:r>
      <w:r>
        <w:rPr>
          <w:color w:val="000000" w:themeColor="text1"/>
        </w:rPr>
        <w:t xml:space="preserve">to </w:t>
      </w:r>
      <w:r w:rsidRPr="00FA41D7">
        <w:rPr>
          <w:color w:val="000000" w:themeColor="text1"/>
        </w:rPr>
        <w:t>the Special Education Needs Tribunal for Wales</w:t>
      </w:r>
      <w:r>
        <w:rPr>
          <w:color w:val="000000" w:themeColor="text1"/>
        </w:rPr>
        <w:t xml:space="preserve"> (SENTW) can be made</w:t>
      </w:r>
      <w:r w:rsidRPr="00FA41D7">
        <w:rPr>
          <w:color w:val="000000" w:themeColor="text1"/>
        </w:rPr>
        <w:t>.</w:t>
      </w:r>
      <w:r>
        <w:rPr>
          <w:color w:val="000000" w:themeColor="text1"/>
        </w:rPr>
        <w:t xml:space="preserve"> </w:t>
      </w:r>
    </w:p>
    <w:p w:rsidR="00CA7C86" w:rsidRDefault="00CA7C86" w:rsidP="00CA7C86">
      <w:pPr>
        <w:pStyle w:val="ListParagraph"/>
        <w:ind w:left="0"/>
        <w:rPr>
          <w:color w:val="000000" w:themeColor="text1"/>
        </w:rPr>
      </w:pPr>
    </w:p>
    <w:p w:rsidR="00CA7C86" w:rsidRPr="00977845" w:rsidRDefault="00CA7C86" w:rsidP="00DF109B">
      <w:pPr>
        <w:rPr>
          <w:b/>
          <w:u w:val="single"/>
        </w:rPr>
      </w:pPr>
      <w:r w:rsidRPr="00977845">
        <w:rPr>
          <w:b/>
          <w:u w:val="single"/>
        </w:rPr>
        <w:t>Insurance arrangements</w:t>
      </w:r>
    </w:p>
    <w:p w:rsidR="00CA7C86" w:rsidRDefault="00CA7C86" w:rsidP="00DF109B">
      <w:pPr>
        <w:rPr>
          <w:u w:val="single"/>
        </w:rPr>
      </w:pPr>
    </w:p>
    <w:p w:rsidR="00352E4D" w:rsidRPr="00352E4D" w:rsidRDefault="00352E4D" w:rsidP="00DF109B">
      <w:pPr>
        <w:rPr>
          <w:color w:val="000000" w:themeColor="text1"/>
        </w:rPr>
      </w:pPr>
      <w:r w:rsidRPr="00352E4D">
        <w:rPr>
          <w:color w:val="000000" w:themeColor="text1"/>
        </w:rPr>
        <w:t>Please see attached policy-</w:t>
      </w:r>
    </w:p>
    <w:p w:rsidR="00CA7C86" w:rsidRPr="00352E4D" w:rsidRDefault="00352E4D" w:rsidP="00DF109B">
      <w:pPr>
        <w:rPr>
          <w:color w:val="000000" w:themeColor="text1"/>
        </w:rPr>
      </w:pPr>
      <w:r w:rsidRPr="00352E4D">
        <w:rPr>
          <w:color w:val="000000" w:themeColor="text1"/>
        </w:rPr>
        <w:t xml:space="preserve"> </w:t>
      </w:r>
    </w:p>
    <w:p w:rsidR="00352E4D" w:rsidRPr="00352E4D" w:rsidRDefault="00352E4D" w:rsidP="00352E4D">
      <w:pPr>
        <w:jc w:val="center"/>
        <w:rPr>
          <w:color w:val="000000" w:themeColor="text1"/>
        </w:rPr>
      </w:pPr>
      <w:r w:rsidRPr="00352E4D">
        <w:rPr>
          <w:color w:val="000000" w:themeColor="text1"/>
        </w:rPr>
        <w:t>CHUBB</w:t>
      </w:r>
      <w:r w:rsidR="004F133D">
        <w:rPr>
          <w:color w:val="000000" w:themeColor="text1"/>
        </w:rPr>
        <w:t xml:space="preserve"> (ACE)</w:t>
      </w:r>
    </w:p>
    <w:p w:rsidR="00352E4D" w:rsidRDefault="00352E4D" w:rsidP="00352E4D">
      <w:pPr>
        <w:jc w:val="center"/>
        <w:rPr>
          <w:color w:val="000000" w:themeColor="text1"/>
        </w:rPr>
      </w:pPr>
      <w:r w:rsidRPr="00352E4D">
        <w:rPr>
          <w:color w:val="000000" w:themeColor="text1"/>
        </w:rPr>
        <w:t>Off-site Activities Travel and Personal Injury Insurance Policy Summary</w:t>
      </w:r>
    </w:p>
    <w:p w:rsidR="00352E4D" w:rsidRPr="00352E4D" w:rsidRDefault="00352E4D" w:rsidP="00352E4D">
      <w:pPr>
        <w:jc w:val="center"/>
        <w:rPr>
          <w:color w:val="000000" w:themeColor="text1"/>
        </w:rPr>
      </w:pPr>
    </w:p>
    <w:p w:rsidR="00977845" w:rsidRDefault="00977845" w:rsidP="00DF109B">
      <w:pPr>
        <w:rPr>
          <w:color w:val="000000" w:themeColor="text1"/>
          <w:u w:val="single"/>
        </w:rPr>
      </w:pPr>
    </w:p>
    <w:p w:rsidR="00977845" w:rsidRDefault="00977845" w:rsidP="00DF109B">
      <w:pPr>
        <w:rPr>
          <w:color w:val="000000" w:themeColor="text1"/>
          <w:u w:val="single"/>
        </w:rPr>
      </w:pPr>
    </w:p>
    <w:p w:rsidR="00977845" w:rsidRDefault="00977845" w:rsidP="00DF109B">
      <w:pPr>
        <w:rPr>
          <w:color w:val="000000" w:themeColor="text1"/>
          <w:u w:val="single"/>
        </w:rPr>
      </w:pPr>
    </w:p>
    <w:p w:rsidR="00CA7C86" w:rsidRPr="00977845" w:rsidRDefault="00CA7C86" w:rsidP="00DF109B">
      <w:pPr>
        <w:rPr>
          <w:b/>
          <w:u w:val="single"/>
        </w:rPr>
      </w:pPr>
      <w:r w:rsidRPr="00977845">
        <w:rPr>
          <w:b/>
          <w:u w:val="single"/>
        </w:rPr>
        <w:t>Complaints Procedure</w:t>
      </w:r>
    </w:p>
    <w:p w:rsidR="00CA7C86" w:rsidRDefault="00CA7C86" w:rsidP="00DF109B">
      <w:pPr>
        <w:rPr>
          <w:color w:val="000000" w:themeColor="text1"/>
          <w:u w:val="single"/>
        </w:rPr>
      </w:pPr>
    </w:p>
    <w:p w:rsidR="00CA7C86" w:rsidRDefault="00CA7C86" w:rsidP="00DF109B">
      <w:pPr>
        <w:rPr>
          <w:color w:val="000000" w:themeColor="text1"/>
        </w:rPr>
      </w:pPr>
      <w:r w:rsidRPr="00CA7C86">
        <w:rPr>
          <w:color w:val="000000" w:themeColor="text1"/>
        </w:rPr>
        <w:t xml:space="preserve">Please refer to school Complaints Procedures, ratified by Governing Body, January 2017. </w:t>
      </w:r>
    </w:p>
    <w:p w:rsidR="00CA7C86" w:rsidRPr="00977845" w:rsidRDefault="00CA7C86" w:rsidP="00DF109B">
      <w:pPr>
        <w:rPr>
          <w:b/>
          <w:color w:val="000000" w:themeColor="text1"/>
        </w:rPr>
      </w:pPr>
    </w:p>
    <w:p w:rsidR="00CA7C86" w:rsidRPr="00977845" w:rsidRDefault="00CA7C86" w:rsidP="00DF109B">
      <w:pPr>
        <w:rPr>
          <w:b/>
          <w:color w:val="000000" w:themeColor="text1"/>
          <w:u w:val="single"/>
        </w:rPr>
      </w:pPr>
      <w:r w:rsidRPr="00977845">
        <w:rPr>
          <w:b/>
          <w:color w:val="000000" w:themeColor="text1"/>
          <w:u w:val="single"/>
        </w:rPr>
        <w:t>Individual Healthcare Plans</w:t>
      </w:r>
    </w:p>
    <w:p w:rsidR="00CA7C86" w:rsidRDefault="00CA7C86" w:rsidP="00DF109B">
      <w:pPr>
        <w:rPr>
          <w:color w:val="000000" w:themeColor="text1"/>
          <w:u w:val="single"/>
        </w:rPr>
      </w:pPr>
    </w:p>
    <w:p w:rsidR="00DA6949" w:rsidRDefault="00DA6949" w:rsidP="00DF109B">
      <w:pPr>
        <w:rPr>
          <w:color w:val="000000" w:themeColor="text1"/>
        </w:rPr>
      </w:pPr>
      <w:r>
        <w:rPr>
          <w:color w:val="000000" w:themeColor="text1"/>
        </w:rPr>
        <w:t xml:space="preserve">Individual Healthcare Plans contain the relevant healthcare needs of the individual pupils. Healthcare needs are to be shared </w:t>
      </w:r>
      <w:r w:rsidR="00B36E2E">
        <w:rPr>
          <w:color w:val="000000" w:themeColor="text1"/>
        </w:rPr>
        <w:t xml:space="preserve">with all professionals involved with the pupils. </w:t>
      </w:r>
    </w:p>
    <w:p w:rsidR="00DA6949" w:rsidRPr="00DA6949" w:rsidRDefault="00B36E2E" w:rsidP="00DF109B">
      <w:pPr>
        <w:rPr>
          <w:color w:val="000000" w:themeColor="text1"/>
        </w:rPr>
      </w:pPr>
      <w:r>
        <w:rPr>
          <w:color w:val="000000" w:themeColor="text1"/>
        </w:rPr>
        <w:t xml:space="preserve">The IHP covers the health needs of the pupil and the daily activities of living (for example, breathing, eating </w:t>
      </w:r>
      <w:proofErr w:type="spellStart"/>
      <w:r>
        <w:rPr>
          <w:color w:val="000000" w:themeColor="text1"/>
        </w:rPr>
        <w:t>etc</w:t>
      </w:r>
      <w:proofErr w:type="spellEnd"/>
      <w:r>
        <w:rPr>
          <w:color w:val="000000" w:themeColor="text1"/>
        </w:rPr>
        <w:t xml:space="preserve">). Nurses and Healthcare visitors compile the IHP and this is shared with all involved (parents, Multi-disciplinary teams </w:t>
      </w:r>
      <w:proofErr w:type="spellStart"/>
      <w:r>
        <w:rPr>
          <w:color w:val="000000" w:themeColor="text1"/>
        </w:rPr>
        <w:t>etc</w:t>
      </w:r>
      <w:proofErr w:type="spellEnd"/>
      <w:r>
        <w:rPr>
          <w:color w:val="000000" w:themeColor="text1"/>
        </w:rPr>
        <w:t xml:space="preserve">).  </w:t>
      </w:r>
    </w:p>
    <w:p w:rsidR="00602D79" w:rsidRDefault="00602D79" w:rsidP="00DF109B">
      <w:pPr>
        <w:rPr>
          <w:color w:val="FF0000"/>
        </w:rPr>
      </w:pPr>
    </w:p>
    <w:p w:rsidR="00602D79" w:rsidRPr="00977845" w:rsidRDefault="00602D79" w:rsidP="00DF109B">
      <w:pPr>
        <w:rPr>
          <w:b/>
          <w:color w:val="000000" w:themeColor="text1"/>
          <w:u w:val="single"/>
        </w:rPr>
      </w:pPr>
      <w:r w:rsidRPr="00977845">
        <w:rPr>
          <w:b/>
          <w:color w:val="000000" w:themeColor="text1"/>
          <w:u w:val="single"/>
        </w:rPr>
        <w:t xml:space="preserve">Unacceptable practice </w:t>
      </w:r>
    </w:p>
    <w:p w:rsidR="00602D79" w:rsidRDefault="00602D79" w:rsidP="00DF109B">
      <w:pPr>
        <w:rPr>
          <w:color w:val="000000" w:themeColor="text1"/>
          <w:u w:val="single"/>
        </w:rPr>
      </w:pPr>
    </w:p>
    <w:p w:rsidR="00602D79" w:rsidRPr="0074692B" w:rsidRDefault="00602D79" w:rsidP="00602D79">
      <w:pPr>
        <w:rPr>
          <w:color w:val="000000" w:themeColor="text1"/>
        </w:rPr>
      </w:pPr>
      <w:r w:rsidRPr="0074692B">
        <w:rPr>
          <w:color w:val="000000" w:themeColor="text1"/>
        </w:rPr>
        <w:t>It is not acceptable practice to:</w:t>
      </w:r>
      <w:r w:rsidRPr="0074692B">
        <w:rPr>
          <w:color w:val="000000" w:themeColor="text1"/>
        </w:rPr>
        <w:br/>
      </w:r>
    </w:p>
    <w:p w:rsidR="00602D79" w:rsidRPr="0074692B" w:rsidRDefault="00602D79" w:rsidP="00602D79">
      <w:pPr>
        <w:numPr>
          <w:ilvl w:val="0"/>
          <w:numId w:val="18"/>
        </w:numPr>
        <w:ind w:left="567" w:hanging="567"/>
        <w:rPr>
          <w:color w:val="000000" w:themeColor="text1"/>
        </w:rPr>
      </w:pPr>
      <w:r w:rsidRPr="0074692B">
        <w:rPr>
          <w:color w:val="000000" w:themeColor="text1"/>
        </w:rPr>
        <w:t xml:space="preserve">prevent learners from attending an education setting due to their healthcare needs, unless </w:t>
      </w:r>
      <w:r>
        <w:rPr>
          <w:color w:val="000000" w:themeColor="text1"/>
        </w:rPr>
        <w:t>their attending the setting</w:t>
      </w:r>
      <w:r w:rsidRPr="0074692B">
        <w:rPr>
          <w:color w:val="000000" w:themeColor="text1"/>
        </w:rPr>
        <w:t xml:space="preserve"> would be likely to cause harm to the learner or others </w:t>
      </w:r>
    </w:p>
    <w:p w:rsidR="00602D79" w:rsidRPr="0074692B" w:rsidRDefault="00602D79" w:rsidP="00602D79">
      <w:pPr>
        <w:numPr>
          <w:ilvl w:val="0"/>
          <w:numId w:val="18"/>
        </w:numPr>
        <w:ind w:left="567" w:hanging="567"/>
        <w:rPr>
          <w:color w:val="000000" w:themeColor="text1"/>
        </w:rPr>
      </w:pPr>
      <w:r w:rsidRPr="0074692B">
        <w:rPr>
          <w:color w:val="000000" w:themeColor="text1"/>
        </w:rPr>
        <w:t>prevent learners from easily accessing their inhalers or other medication, and prevent them from taking their medication when and where necessary</w:t>
      </w:r>
    </w:p>
    <w:p w:rsidR="00602D79" w:rsidRPr="0074692B" w:rsidRDefault="00602D79" w:rsidP="00602D79">
      <w:pPr>
        <w:numPr>
          <w:ilvl w:val="0"/>
          <w:numId w:val="18"/>
        </w:numPr>
        <w:ind w:left="567" w:hanging="567"/>
        <w:rPr>
          <w:color w:val="000000" w:themeColor="text1"/>
        </w:rPr>
      </w:pPr>
      <w:r w:rsidRPr="0074692B">
        <w:rPr>
          <w:color w:val="000000" w:themeColor="text1"/>
        </w:rPr>
        <w:t>assume every learner with the same condition requires the same treatment</w:t>
      </w:r>
    </w:p>
    <w:p w:rsidR="00602D79" w:rsidRPr="0074692B" w:rsidRDefault="00602D79" w:rsidP="00602D79">
      <w:pPr>
        <w:numPr>
          <w:ilvl w:val="0"/>
          <w:numId w:val="18"/>
        </w:numPr>
        <w:ind w:left="567" w:hanging="567"/>
        <w:rPr>
          <w:color w:val="000000" w:themeColor="text1"/>
        </w:rPr>
      </w:pPr>
      <w:r w:rsidRPr="0074692B">
        <w:rPr>
          <w:color w:val="000000" w:themeColor="text1"/>
        </w:rPr>
        <w:t>ignore the views of the learner or their parents</w:t>
      </w:r>
      <w:r>
        <w:rPr>
          <w:color w:val="000000" w:themeColor="text1"/>
        </w:rPr>
        <w:t>,</w:t>
      </w:r>
      <w:r w:rsidRPr="0074692B">
        <w:rPr>
          <w:color w:val="000000" w:themeColor="text1"/>
        </w:rPr>
        <w:t xml:space="preserve"> or ignore healthcare evidence or opinion (although these views may be queried with additional opinions sought promptly) </w:t>
      </w:r>
    </w:p>
    <w:p w:rsidR="00602D79" w:rsidRPr="0074692B" w:rsidRDefault="00602D79" w:rsidP="00602D79">
      <w:pPr>
        <w:numPr>
          <w:ilvl w:val="0"/>
          <w:numId w:val="18"/>
        </w:numPr>
        <w:ind w:left="567" w:hanging="567"/>
        <w:rPr>
          <w:color w:val="000000" w:themeColor="text1"/>
        </w:rPr>
      </w:pPr>
      <w:r w:rsidRPr="0074692B">
        <w:rPr>
          <w:color w:val="000000" w:themeColor="text1"/>
        </w:rPr>
        <w:t xml:space="preserve">send learners with healthcare needs home frequently or prevent them from staying for normal activities, including lunch, unless this is suitably specified in their </w:t>
      </w:r>
      <w:r>
        <w:rPr>
          <w:color w:val="000000" w:themeColor="text1"/>
        </w:rPr>
        <w:t>IHP</w:t>
      </w:r>
    </w:p>
    <w:p w:rsidR="00602D79" w:rsidRPr="0074692B" w:rsidRDefault="00602D79" w:rsidP="00602D79">
      <w:pPr>
        <w:numPr>
          <w:ilvl w:val="0"/>
          <w:numId w:val="18"/>
        </w:numPr>
        <w:ind w:left="567" w:hanging="567"/>
        <w:rPr>
          <w:color w:val="000000" w:themeColor="text1"/>
        </w:rPr>
      </w:pPr>
      <w:r w:rsidRPr="0074692B">
        <w:rPr>
          <w:color w:val="000000" w:themeColor="text1"/>
        </w:rPr>
        <w:t>send a learner who becomes ill or needs assistance to a medical room or main office unaccompanied or with someone unable to properly monitor them</w:t>
      </w:r>
    </w:p>
    <w:p w:rsidR="00602D79" w:rsidRPr="0074692B" w:rsidRDefault="00602D79" w:rsidP="00602D79">
      <w:pPr>
        <w:numPr>
          <w:ilvl w:val="0"/>
          <w:numId w:val="18"/>
        </w:numPr>
        <w:ind w:left="567" w:hanging="567"/>
        <w:rPr>
          <w:color w:val="000000" w:themeColor="text1"/>
        </w:rPr>
      </w:pPr>
      <w:proofErr w:type="gramStart"/>
      <w:r w:rsidRPr="0074692B">
        <w:rPr>
          <w:color w:val="000000" w:themeColor="text1"/>
        </w:rPr>
        <w:t>penalise</w:t>
      </w:r>
      <w:proofErr w:type="gramEnd"/>
      <w:r w:rsidRPr="0074692B">
        <w:rPr>
          <w:color w:val="000000" w:themeColor="text1"/>
        </w:rPr>
        <w:t xml:space="preserve"> a learner for their attendance record if the absence is related to their healthcare needs. ‘Authorised absences’ including healthcare appointments, time to travel to hospital or appointment, </w:t>
      </w:r>
      <w:r>
        <w:rPr>
          <w:color w:val="000000" w:themeColor="text1"/>
        </w:rPr>
        <w:t xml:space="preserve">and </w:t>
      </w:r>
      <w:r w:rsidRPr="0074692B">
        <w:rPr>
          <w:color w:val="000000" w:themeColor="text1"/>
        </w:rPr>
        <w:t xml:space="preserve">recovery time from treatment or illness should not be used to penalise a learner in any way. This includes, but is not limited to, participation in activities, trips or awards which are incentivised around attendance records  </w:t>
      </w:r>
    </w:p>
    <w:p w:rsidR="00602D79" w:rsidRPr="0074692B" w:rsidRDefault="00602D79" w:rsidP="00602D79">
      <w:pPr>
        <w:numPr>
          <w:ilvl w:val="0"/>
          <w:numId w:val="18"/>
        </w:numPr>
        <w:ind w:left="567" w:hanging="567"/>
        <w:rPr>
          <w:color w:val="000000" w:themeColor="text1"/>
        </w:rPr>
      </w:pPr>
      <w:proofErr w:type="gramStart"/>
      <w:r w:rsidRPr="0074692B">
        <w:rPr>
          <w:color w:val="000000" w:themeColor="text1"/>
        </w:rPr>
        <w:t>request</w:t>
      </w:r>
      <w:proofErr w:type="gramEnd"/>
      <w:r w:rsidRPr="0074692B">
        <w:rPr>
          <w:color w:val="000000" w:themeColor="text1"/>
        </w:rPr>
        <w:t xml:space="preserve"> adjustments or additional time for a learner at a late stage. They should be applied for in good time. Consideration should also be given to adjustments or additional time needed in mock examinations or other tests   </w:t>
      </w:r>
    </w:p>
    <w:p w:rsidR="00602D79" w:rsidRPr="0074692B" w:rsidRDefault="00602D79" w:rsidP="00602D79">
      <w:pPr>
        <w:numPr>
          <w:ilvl w:val="0"/>
          <w:numId w:val="18"/>
        </w:numPr>
        <w:ind w:left="567" w:hanging="567"/>
        <w:rPr>
          <w:color w:val="000000" w:themeColor="text1"/>
        </w:rPr>
      </w:pPr>
      <w:r w:rsidRPr="0074692B">
        <w:rPr>
          <w:color w:val="000000" w:themeColor="text1"/>
        </w:rPr>
        <w:t xml:space="preserve">prevent learners from drinking, eating or taking toilet or other breaks whenever needed in order to manage their healthcare needs effectively </w:t>
      </w:r>
    </w:p>
    <w:p w:rsidR="00602D79" w:rsidRPr="0074692B" w:rsidRDefault="00602D79" w:rsidP="00602D79">
      <w:pPr>
        <w:numPr>
          <w:ilvl w:val="0"/>
          <w:numId w:val="18"/>
        </w:numPr>
        <w:ind w:left="567" w:hanging="567"/>
        <w:rPr>
          <w:color w:val="000000" w:themeColor="text1"/>
        </w:rPr>
      </w:pPr>
      <w:r w:rsidRPr="0074692B">
        <w:rPr>
          <w:color w:val="000000" w:themeColor="text1"/>
        </w:rPr>
        <w:t>require parents</w:t>
      </w:r>
      <w:r>
        <w:rPr>
          <w:color w:val="000000" w:themeColor="text1"/>
        </w:rPr>
        <w:t>,</w:t>
      </w:r>
      <w:r w:rsidRPr="0074692B">
        <w:rPr>
          <w:color w:val="000000" w:themeColor="text1"/>
        </w:rPr>
        <w:t xml:space="preserve"> or otherwise make them feel obliged</w:t>
      </w:r>
      <w:r>
        <w:rPr>
          <w:color w:val="000000" w:themeColor="text1"/>
        </w:rPr>
        <w:t>,</w:t>
      </w:r>
      <w:r w:rsidRPr="0074692B">
        <w:rPr>
          <w:color w:val="000000" w:themeColor="text1"/>
        </w:rPr>
        <w:t xml:space="preserve"> to attend the education setting, trip or other off</w:t>
      </w:r>
      <w:r>
        <w:rPr>
          <w:color w:val="000000" w:themeColor="text1"/>
        </w:rPr>
        <w:t>-</w:t>
      </w:r>
      <w:r w:rsidRPr="0074692B">
        <w:rPr>
          <w:color w:val="000000" w:themeColor="text1"/>
        </w:rPr>
        <w:t xml:space="preserve">site activity to administer medication or provide healthcare support to the learner, including </w:t>
      </w:r>
      <w:r>
        <w:rPr>
          <w:color w:val="000000" w:themeColor="text1"/>
        </w:rPr>
        <w:t>for</w:t>
      </w:r>
      <w:r w:rsidRPr="0074692B">
        <w:rPr>
          <w:color w:val="000000" w:themeColor="text1"/>
        </w:rPr>
        <w:t xml:space="preserve"> toileting issues</w:t>
      </w:r>
    </w:p>
    <w:p w:rsidR="00602D79" w:rsidRDefault="00602D79" w:rsidP="00602D79">
      <w:pPr>
        <w:numPr>
          <w:ilvl w:val="0"/>
          <w:numId w:val="18"/>
        </w:numPr>
        <w:ind w:left="567" w:hanging="567"/>
        <w:rPr>
          <w:color w:val="000000" w:themeColor="text1"/>
        </w:rPr>
      </w:pPr>
      <w:r w:rsidRPr="0074692B">
        <w:rPr>
          <w:color w:val="000000" w:themeColor="text1"/>
        </w:rPr>
        <w:t>expect or cause a parent to give up work or other commitment</w:t>
      </w:r>
      <w:r>
        <w:rPr>
          <w:color w:val="000000" w:themeColor="text1"/>
        </w:rPr>
        <w:t>s</w:t>
      </w:r>
      <w:r w:rsidRPr="0074692B">
        <w:rPr>
          <w:color w:val="000000" w:themeColor="text1"/>
        </w:rPr>
        <w:t xml:space="preserve"> because the education setting is failing to support a learner’s healthcare needs </w:t>
      </w:r>
    </w:p>
    <w:p w:rsidR="00602D79" w:rsidRDefault="00602D79" w:rsidP="00602D79">
      <w:pPr>
        <w:numPr>
          <w:ilvl w:val="0"/>
          <w:numId w:val="18"/>
        </w:numPr>
        <w:ind w:left="567" w:hanging="567"/>
        <w:rPr>
          <w:color w:val="000000" w:themeColor="text1"/>
        </w:rPr>
      </w:pPr>
      <w:r>
        <w:rPr>
          <w:color w:val="000000" w:themeColor="text1"/>
        </w:rPr>
        <w:t xml:space="preserve">ask a learner to leave the classroom or activity if they need to administer </w:t>
      </w:r>
    </w:p>
    <w:p w:rsidR="00602D79" w:rsidRPr="0074692B" w:rsidRDefault="00602D79" w:rsidP="00602D79">
      <w:pPr>
        <w:ind w:left="567"/>
        <w:rPr>
          <w:color w:val="000000" w:themeColor="text1"/>
        </w:rPr>
      </w:pPr>
      <w:proofErr w:type="gramStart"/>
      <w:r>
        <w:rPr>
          <w:color w:val="000000" w:themeColor="text1"/>
        </w:rPr>
        <w:t>non-personal</w:t>
      </w:r>
      <w:proofErr w:type="gramEnd"/>
      <w:r>
        <w:rPr>
          <w:color w:val="000000" w:themeColor="text1"/>
        </w:rPr>
        <w:t xml:space="preserve"> medication or consume food in line with their health needs </w:t>
      </w:r>
    </w:p>
    <w:p w:rsidR="00602D79" w:rsidRPr="0074692B" w:rsidRDefault="00602D79" w:rsidP="00602D79">
      <w:pPr>
        <w:numPr>
          <w:ilvl w:val="0"/>
          <w:numId w:val="18"/>
        </w:numPr>
        <w:ind w:left="567" w:hanging="567"/>
        <w:rPr>
          <w:color w:val="000000" w:themeColor="text1"/>
        </w:rPr>
      </w:pPr>
      <w:proofErr w:type="gramStart"/>
      <w:r w:rsidRPr="0074692B">
        <w:rPr>
          <w:color w:val="000000" w:themeColor="text1"/>
        </w:rPr>
        <w:t>prevent</w:t>
      </w:r>
      <w:proofErr w:type="gramEnd"/>
      <w:r w:rsidRPr="0074692B">
        <w:rPr>
          <w:color w:val="000000" w:themeColor="text1"/>
        </w:rPr>
        <w:t xml:space="preserve"> or create unnecessary barriers to a learner’s participation in any aspect of their education</w:t>
      </w:r>
      <w:r>
        <w:rPr>
          <w:color w:val="000000" w:themeColor="text1"/>
        </w:rPr>
        <w:t>,</w:t>
      </w:r>
      <w:r w:rsidRPr="0074692B">
        <w:rPr>
          <w:color w:val="000000" w:themeColor="text1"/>
        </w:rPr>
        <w:t xml:space="preserve"> including trips</w:t>
      </w:r>
      <w:r>
        <w:rPr>
          <w:color w:val="000000" w:themeColor="text1"/>
        </w:rPr>
        <w:t>,</w:t>
      </w:r>
      <w:r w:rsidRPr="0074692B">
        <w:rPr>
          <w:color w:val="000000" w:themeColor="text1"/>
        </w:rPr>
        <w:t xml:space="preserve"> e.g. by requiring a parent to accompany the learner.</w:t>
      </w:r>
    </w:p>
    <w:p w:rsidR="00602D79" w:rsidRDefault="00602D79" w:rsidP="00602D79">
      <w:pPr>
        <w:tabs>
          <w:tab w:val="left" w:pos="3315"/>
        </w:tabs>
        <w:ind w:left="567" w:hanging="567"/>
        <w:rPr>
          <w:color w:val="000000" w:themeColor="text1"/>
        </w:rPr>
      </w:pPr>
    </w:p>
    <w:p w:rsidR="00977845" w:rsidRPr="00977845" w:rsidRDefault="00977845" w:rsidP="00977845">
      <w:pPr>
        <w:pStyle w:val="BodyText"/>
        <w:rPr>
          <w:rFonts w:cs="Arial"/>
          <w:sz w:val="24"/>
          <w:szCs w:val="22"/>
        </w:rPr>
      </w:pPr>
      <w:r w:rsidRPr="00977845">
        <w:rPr>
          <w:rFonts w:cs="Arial"/>
          <w:sz w:val="24"/>
          <w:szCs w:val="22"/>
        </w:rPr>
        <w:t>This policy will be reviewed by the Governing Body every year.</w:t>
      </w:r>
    </w:p>
    <w:p w:rsidR="00977845" w:rsidRPr="00977845" w:rsidRDefault="00977845" w:rsidP="00977845">
      <w:pPr>
        <w:pStyle w:val="BodyText"/>
        <w:rPr>
          <w:rFonts w:cs="Arial"/>
          <w:szCs w:val="22"/>
        </w:rPr>
      </w:pPr>
    </w:p>
    <w:p w:rsidR="00977845" w:rsidRPr="00977845" w:rsidRDefault="00977845" w:rsidP="00977845">
      <w:pPr>
        <w:pStyle w:val="BodyText"/>
        <w:rPr>
          <w:rFonts w:cs="Arial"/>
          <w:szCs w:val="22"/>
        </w:rPr>
      </w:pPr>
    </w:p>
    <w:p w:rsidR="00977845" w:rsidRDefault="00977845" w:rsidP="00977845">
      <w:pPr>
        <w:pStyle w:val="Heading3"/>
        <w:rPr>
          <w:rFonts w:ascii="Edwardian Script ITC" w:hAnsi="Edwardian Script ITC"/>
          <w:sz w:val="40"/>
          <w:szCs w:val="40"/>
        </w:rPr>
      </w:pPr>
      <w:proofErr w:type="gramStart"/>
      <w:r w:rsidRPr="00977845">
        <w:rPr>
          <w:rFonts w:ascii="Arial" w:hAnsi="Arial" w:cs="Arial"/>
          <w:color w:val="auto"/>
          <w:szCs w:val="22"/>
        </w:rPr>
        <w:t>Signed:</w:t>
      </w:r>
      <w:proofErr w:type="gramEnd"/>
      <w:r w:rsidRPr="00977845">
        <w:rPr>
          <w:rFonts w:ascii="Arial" w:hAnsi="Arial" w:cs="Arial"/>
          <w:color w:val="auto"/>
          <w:szCs w:val="22"/>
        </w:rPr>
        <w:t>(Chair of Governors)</w:t>
      </w:r>
      <w:r w:rsidRPr="00977845">
        <w:rPr>
          <w:rFonts w:ascii="Comic Sans MS" w:hAnsi="Comic Sans MS"/>
          <w:color w:val="auto"/>
          <w:szCs w:val="22"/>
        </w:rPr>
        <w:t xml:space="preserve"> </w:t>
      </w:r>
    </w:p>
    <w:p w:rsidR="00977845" w:rsidRDefault="00977845" w:rsidP="00977845">
      <w:pPr>
        <w:pStyle w:val="Heading3"/>
        <w:rPr>
          <w:rFonts w:ascii="Edwardian Script ITC" w:hAnsi="Edwardian Script ITC"/>
          <w:sz w:val="40"/>
          <w:szCs w:val="40"/>
        </w:rPr>
      </w:pPr>
    </w:p>
    <w:p w:rsidR="00977845" w:rsidRPr="00BB36EB" w:rsidRDefault="00977845" w:rsidP="00977845">
      <w:pPr>
        <w:pStyle w:val="Heading3"/>
        <w:rPr>
          <w:rFonts w:ascii="Edwardian Script ITC" w:hAnsi="Edwardian Script ITC"/>
          <w:sz w:val="40"/>
          <w:szCs w:val="40"/>
        </w:rPr>
      </w:pPr>
      <w:r w:rsidRPr="00977845">
        <w:rPr>
          <w:rFonts w:ascii="Arial" w:hAnsi="Arial" w:cs="Arial"/>
          <w:color w:val="auto"/>
          <w:szCs w:val="22"/>
        </w:rPr>
        <w:t>Signed: (Headteacher)</w:t>
      </w:r>
      <w:r>
        <w:rPr>
          <w:rFonts w:ascii="Arial" w:hAnsi="Arial" w:cs="Arial"/>
          <w:szCs w:val="22"/>
        </w:rPr>
        <w:tab/>
      </w:r>
      <w:r>
        <w:rPr>
          <w:rFonts w:ascii="Comic Sans MS" w:hAnsi="Comic Sans MS"/>
          <w:szCs w:val="22"/>
        </w:rPr>
        <w:t xml:space="preserve"> </w:t>
      </w:r>
      <w:r w:rsidR="00F104BC">
        <w:rPr>
          <w:noProof/>
          <w:lang w:eastAsia="en-GB"/>
        </w:rPr>
        <w:drawing>
          <wp:inline distT="0" distB="0" distL="0" distR="0" wp14:anchorId="355C9AEA" wp14:editId="3CAFD97A">
            <wp:extent cx="15811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140" cy="467312"/>
                    </a:xfrm>
                    <a:prstGeom prst="rect">
                      <a:avLst/>
                    </a:prstGeom>
                    <a:noFill/>
                    <a:ln>
                      <a:noFill/>
                    </a:ln>
                  </pic:spPr>
                </pic:pic>
              </a:graphicData>
            </a:graphic>
          </wp:inline>
        </w:drawing>
      </w:r>
    </w:p>
    <w:p w:rsidR="00977845" w:rsidRPr="00853B45" w:rsidRDefault="00977845" w:rsidP="00977845">
      <w:pPr>
        <w:pStyle w:val="BodyText"/>
        <w:ind w:left="0" w:firstLine="0"/>
        <w:rPr>
          <w:rFonts w:ascii="Comic Sans MS" w:hAnsi="Comic Sans MS"/>
          <w:szCs w:val="22"/>
        </w:rPr>
      </w:pPr>
    </w:p>
    <w:p w:rsidR="00977845" w:rsidRPr="00977845" w:rsidRDefault="00F104BC" w:rsidP="00977845">
      <w:pPr>
        <w:pStyle w:val="Heading3"/>
        <w:rPr>
          <w:rFonts w:ascii="Arial" w:hAnsi="Arial" w:cs="Arial"/>
          <w:color w:val="auto"/>
          <w:szCs w:val="22"/>
        </w:rPr>
      </w:pPr>
      <w:r>
        <w:rPr>
          <w:rFonts w:ascii="Arial" w:hAnsi="Arial" w:cs="Arial"/>
          <w:color w:val="auto"/>
          <w:szCs w:val="22"/>
        </w:rPr>
        <w:t xml:space="preserve">Date: </w:t>
      </w:r>
      <w:proofErr w:type="gramStart"/>
      <w:r>
        <w:rPr>
          <w:rFonts w:ascii="Arial" w:hAnsi="Arial" w:cs="Arial"/>
          <w:color w:val="auto"/>
          <w:szCs w:val="22"/>
        </w:rPr>
        <w:t xml:space="preserve">July  </w:t>
      </w:r>
      <w:r w:rsidR="00977845" w:rsidRPr="00977845">
        <w:rPr>
          <w:rFonts w:ascii="Arial" w:hAnsi="Arial" w:cs="Arial"/>
          <w:color w:val="auto"/>
          <w:szCs w:val="22"/>
        </w:rPr>
        <w:t>2017</w:t>
      </w:r>
      <w:proofErr w:type="gramEnd"/>
    </w:p>
    <w:p w:rsidR="00602D79" w:rsidRPr="00602D79" w:rsidRDefault="00602D79" w:rsidP="00DF109B">
      <w:pPr>
        <w:rPr>
          <w:color w:val="000000" w:themeColor="text1"/>
          <w:u w:val="single"/>
        </w:rPr>
      </w:pPr>
    </w:p>
    <w:sectPr w:rsidR="00602D79" w:rsidRPr="00602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3D" w:rsidRDefault="004F133D" w:rsidP="001A3337">
      <w:r>
        <w:separator/>
      </w:r>
    </w:p>
  </w:endnote>
  <w:endnote w:type="continuationSeparator" w:id="0">
    <w:p w:rsidR="004F133D" w:rsidRDefault="004F133D" w:rsidP="001A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3D" w:rsidRDefault="004F133D" w:rsidP="001A3337">
      <w:r>
        <w:separator/>
      </w:r>
    </w:p>
  </w:footnote>
  <w:footnote w:type="continuationSeparator" w:id="0">
    <w:p w:rsidR="004F133D" w:rsidRDefault="004F133D" w:rsidP="001A3337">
      <w:r>
        <w:continuationSeparator/>
      </w:r>
    </w:p>
  </w:footnote>
  <w:footnote w:id="1">
    <w:p w:rsidR="004F133D" w:rsidRPr="001C2A5E" w:rsidRDefault="004F133D" w:rsidP="001A3337">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w:t>
      </w:r>
      <w:r w:rsidRPr="00FC1867">
        <w:rPr>
          <w:rFonts w:ascii="Arial" w:hAnsi="Arial" w:cs="Arial"/>
        </w:rPr>
        <w:t xml:space="preserve">Section 25 of the Children Act 2004 </w:t>
      </w:r>
      <w:hyperlink r:id="rId1" w:history="1">
        <w:r w:rsidRPr="00FC1867">
          <w:rPr>
            <w:rStyle w:val="Hyperlink"/>
            <w:rFonts w:ascii="Arial" w:hAnsi="Arial" w:cs="Arial"/>
          </w:rPr>
          <w:t>www.legislation.gov.uk/ukpga/2004/31/section/25</w:t>
        </w:r>
      </w:hyperlink>
    </w:p>
  </w:footnote>
  <w:footnote w:id="2">
    <w:p w:rsidR="004F133D" w:rsidRPr="00674532" w:rsidRDefault="004F133D" w:rsidP="001A3337">
      <w:pPr>
        <w:pStyle w:val="FootnoteText"/>
        <w:ind w:left="142" w:hanging="142"/>
        <w:rPr>
          <w:rFonts w:ascii="Arial" w:hAnsi="Arial" w:cs="Arial"/>
        </w:rPr>
      </w:pPr>
      <w:r w:rsidRPr="001C2A5E">
        <w:rPr>
          <w:rStyle w:val="FootnoteReference"/>
          <w:rFonts w:ascii="Arial" w:hAnsi="Arial" w:cs="Arial"/>
        </w:rPr>
        <w:footnoteRef/>
      </w:r>
      <w:r w:rsidRPr="001C2A5E">
        <w:rPr>
          <w:rFonts w:ascii="Arial" w:hAnsi="Arial" w:cs="Arial"/>
        </w:rPr>
        <w:t xml:space="preserve"> </w:t>
      </w:r>
      <w:hyperlink r:id="rId2" w:history="1">
        <w:r w:rsidRPr="00FF7E5C">
          <w:rPr>
            <w:rStyle w:val="Hyperlink"/>
            <w:rFonts w:ascii="Arial" w:hAnsi="Arial" w:cs="Arial"/>
          </w:rPr>
          <w:t>gov.wales/topics/educationandskills/schoolshome/wellbeing/schoolcounselling/statutory-guidance-independent-counselling-services/?lang=en</w:t>
        </w:r>
      </w:hyperlink>
    </w:p>
  </w:footnote>
  <w:footnote w:id="3">
    <w:p w:rsidR="004F133D" w:rsidRPr="001C2A5E" w:rsidRDefault="004F133D" w:rsidP="001A3337">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Section 19 of the Education Act 1996</w:t>
      </w:r>
      <w:r>
        <w:rPr>
          <w:rFonts w:ascii="Arial" w:hAnsi="Arial" w:cs="Arial"/>
        </w:rPr>
        <w:t xml:space="preserve"> at</w:t>
      </w:r>
      <w:r w:rsidRPr="001C2A5E">
        <w:rPr>
          <w:rFonts w:ascii="Arial" w:hAnsi="Arial" w:cs="Arial"/>
        </w:rPr>
        <w:t xml:space="preserve"> </w:t>
      </w:r>
      <w:hyperlink r:id="rId3" w:history="1">
        <w:r w:rsidRPr="00FF7E5C">
          <w:rPr>
            <w:rStyle w:val="Hyperlink"/>
            <w:rFonts w:ascii="Arial" w:hAnsi="Arial" w:cs="Arial"/>
          </w:rPr>
          <w:t>www.legislation.gov.uk/ukpga/1996/56/section/19</w:t>
        </w:r>
      </w:hyperlink>
      <w:r w:rsidRPr="001C2A5E">
        <w:rPr>
          <w:rFonts w:ascii="Arial" w:hAnsi="Arial" w:cs="Arial"/>
        </w:rPr>
        <w:t xml:space="preserve"> </w:t>
      </w:r>
    </w:p>
  </w:footnote>
  <w:footnote w:id="4">
    <w:p w:rsidR="004F133D" w:rsidRPr="001C2A5E" w:rsidRDefault="004F133D" w:rsidP="001A3337">
      <w:pPr>
        <w:rPr>
          <w:sz w:val="20"/>
          <w:szCs w:val="20"/>
        </w:rPr>
      </w:pPr>
      <w:r w:rsidRPr="001C2A5E">
        <w:rPr>
          <w:rStyle w:val="FootnoteReference"/>
          <w:sz w:val="20"/>
          <w:szCs w:val="20"/>
        </w:rPr>
        <w:footnoteRef/>
      </w:r>
      <w:r w:rsidRPr="001C2A5E">
        <w:rPr>
          <w:sz w:val="20"/>
          <w:szCs w:val="20"/>
        </w:rPr>
        <w:t xml:space="preserve"> </w:t>
      </w:r>
      <w:hyperlink r:id="rId4" w:history="1">
        <w:r w:rsidRPr="00FF7E5C">
          <w:rPr>
            <w:rStyle w:val="Hyperlink"/>
            <w:sz w:val="20"/>
            <w:szCs w:val="20"/>
          </w:rPr>
          <w:t>www.wales.nhs.uk/sitesplus/888/home</w:t>
        </w:r>
      </w:hyperlink>
    </w:p>
  </w:footnote>
  <w:footnote w:id="5">
    <w:p w:rsidR="004F133D" w:rsidRPr="001C2A5E" w:rsidRDefault="004F133D" w:rsidP="001A3337">
      <w:pPr>
        <w:tabs>
          <w:tab w:val="left" w:pos="5985"/>
        </w:tabs>
        <w:rPr>
          <w:sz w:val="20"/>
          <w:szCs w:val="20"/>
        </w:rPr>
      </w:pPr>
      <w:r w:rsidRPr="001C2A5E">
        <w:rPr>
          <w:rStyle w:val="FootnoteReference"/>
          <w:sz w:val="20"/>
          <w:szCs w:val="20"/>
        </w:rPr>
        <w:footnoteRef/>
      </w:r>
      <w:r w:rsidRPr="001C2A5E">
        <w:rPr>
          <w:sz w:val="20"/>
          <w:szCs w:val="20"/>
        </w:rPr>
        <w:t xml:space="preserve"> </w:t>
      </w:r>
      <w:hyperlink r:id="rId5" w:history="1">
        <w:r w:rsidRPr="00FF7E5C">
          <w:rPr>
            <w:rStyle w:val="Hyperlink"/>
            <w:sz w:val="20"/>
            <w:szCs w:val="20"/>
          </w:rPr>
          <w:t>learning.gov.wales/docs/learningwales/publications/150909-reviews-toolkit-en.pdf</w:t>
        </w:r>
      </w:hyperlink>
      <w:r w:rsidRPr="001C2A5E">
        <w:rPr>
          <w:sz w:val="20"/>
          <w:szCs w:val="20"/>
        </w:rPr>
        <w:t xml:space="preserve"> </w:t>
      </w:r>
    </w:p>
    <w:p w:rsidR="004F133D" w:rsidRDefault="004F133D" w:rsidP="001A3337">
      <w:pPr>
        <w:pStyle w:val="FootnoteText"/>
      </w:pPr>
    </w:p>
  </w:footnote>
  <w:footnote w:id="6">
    <w:p w:rsidR="004F133D" w:rsidRPr="009E1668" w:rsidRDefault="004F133D" w:rsidP="00DF109B">
      <w:pPr>
        <w:pStyle w:val="FootnoteText"/>
        <w:rPr>
          <w:rFonts w:ascii="Arial" w:hAnsi="Arial" w:cs="Arial"/>
        </w:rPr>
      </w:pPr>
      <w:r w:rsidRPr="009E1668">
        <w:rPr>
          <w:rStyle w:val="FootnoteReference"/>
          <w:rFonts w:ascii="Arial" w:hAnsi="Arial" w:cs="Arial"/>
        </w:rPr>
        <w:footnoteRef/>
      </w:r>
      <w:r w:rsidRPr="009E1668">
        <w:rPr>
          <w:rFonts w:ascii="Arial" w:hAnsi="Arial" w:cs="Arial"/>
        </w:rPr>
        <w:t xml:space="preserve"> </w:t>
      </w:r>
      <w:hyperlink r:id="rId6" w:history="1">
        <w:r w:rsidRPr="00FF7E5C">
          <w:rPr>
            <w:rStyle w:val="Hyperlink"/>
            <w:rFonts w:ascii="Arial" w:hAnsi="Arial" w:cs="Arial"/>
          </w:rPr>
          <w:t>www.legislation.gov.uk/ukpga/2010/15/contents</w:t>
        </w:r>
      </w:hyperlink>
    </w:p>
  </w:footnote>
  <w:footnote w:id="7">
    <w:p w:rsidR="004F133D" w:rsidRPr="002517B9" w:rsidRDefault="004F133D" w:rsidP="00DF109B">
      <w:pPr>
        <w:pStyle w:val="FootnoteText"/>
        <w:rPr>
          <w:rFonts w:ascii="Arial" w:hAnsi="Arial" w:cs="Arial"/>
        </w:rPr>
      </w:pPr>
      <w:r w:rsidRPr="009E1668">
        <w:rPr>
          <w:rStyle w:val="FootnoteReference"/>
          <w:rFonts w:ascii="Arial" w:hAnsi="Arial" w:cs="Arial"/>
        </w:rPr>
        <w:footnoteRef/>
      </w:r>
      <w:r w:rsidRPr="009E1668">
        <w:rPr>
          <w:rFonts w:ascii="Arial" w:hAnsi="Arial" w:cs="Arial"/>
        </w:rPr>
        <w:t xml:space="preserve"> </w:t>
      </w:r>
      <w:hyperlink r:id="rId7" w:history="1">
        <w:r w:rsidRPr="00FF7E5C">
          <w:rPr>
            <w:rStyle w:val="Hyperlink"/>
            <w:rFonts w:ascii="Arial" w:hAnsi="Arial" w:cs="Arial"/>
          </w:rPr>
          <w:t>www.legislation.gov.uk/ukpga/2010/15/schedule/10</w:t>
        </w:r>
      </w:hyperlink>
    </w:p>
  </w:footnote>
  <w:footnote w:id="8">
    <w:p w:rsidR="004F133D" w:rsidRPr="001C2A5E" w:rsidRDefault="004F133D" w:rsidP="00DF109B">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The duty to make reasonable adjustments under the Equality Act may apply depending on the circumstances.</w:t>
      </w:r>
    </w:p>
  </w:footnote>
  <w:footnote w:id="9">
    <w:p w:rsidR="004F133D" w:rsidRPr="004D5721" w:rsidRDefault="004F133D" w:rsidP="00DF109B">
      <w:pPr>
        <w:pStyle w:val="FootnoteText"/>
        <w:ind w:left="284" w:hanging="284"/>
        <w:rPr>
          <w:rFonts w:ascii="Arial" w:hAnsi="Arial" w:cs="Arial"/>
        </w:rPr>
      </w:pPr>
      <w:r w:rsidRPr="001C2A5E">
        <w:rPr>
          <w:rStyle w:val="FootnoteReference"/>
          <w:rFonts w:ascii="Arial" w:hAnsi="Arial" w:cs="Arial"/>
        </w:rPr>
        <w:footnoteRef/>
      </w:r>
      <w:r w:rsidRPr="001C2A5E">
        <w:rPr>
          <w:rFonts w:ascii="Arial" w:hAnsi="Arial" w:cs="Arial"/>
        </w:rPr>
        <w:t xml:space="preserve"> </w:t>
      </w:r>
      <w:r>
        <w:rPr>
          <w:rFonts w:ascii="Arial" w:hAnsi="Arial" w:cs="Arial"/>
        </w:rPr>
        <w:t xml:space="preserve"> </w:t>
      </w:r>
      <w:proofErr w:type="gramStart"/>
      <w:r w:rsidRPr="001C2A5E">
        <w:rPr>
          <w:rFonts w:ascii="Arial" w:hAnsi="Arial" w:cs="Arial"/>
        </w:rPr>
        <w:t>Schedule 10 to the Equality Act 2010.</w:t>
      </w:r>
      <w:proofErr w:type="gramEnd"/>
      <w:r w:rsidRPr="001C2A5E">
        <w:rPr>
          <w:rFonts w:ascii="Arial" w:hAnsi="Arial" w:cs="Arial"/>
        </w:rPr>
        <w:t xml:space="preserve"> For guidance on the previous similar statutory duties: </w:t>
      </w:r>
      <w:hyperlink r:id="rId8" w:history="1">
        <w:r w:rsidRPr="00FF7E5C">
          <w:rPr>
            <w:rStyle w:val="Hyperlink"/>
            <w:rFonts w:ascii="Arial" w:hAnsi="Arial" w:cs="Arial"/>
          </w:rPr>
          <w:t>gov.wales/dcells/publications/publications/circularsindex/04/disabledaccess/nafwc1504-e.pdf?lang=en</w:t>
        </w:r>
      </w:hyperlink>
    </w:p>
  </w:footnote>
  <w:footnote w:id="10">
    <w:p w:rsidR="004F133D" w:rsidRPr="001C2A5E" w:rsidRDefault="004F133D" w:rsidP="00CA7C86">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w:t>
      </w:r>
      <w:r w:rsidRPr="00FC1867">
        <w:rPr>
          <w:rFonts w:ascii="Arial" w:hAnsi="Arial" w:cs="Arial"/>
        </w:rPr>
        <w:t xml:space="preserve">Section 25 of the Children Act 2004 </w:t>
      </w:r>
      <w:hyperlink r:id="rId9" w:history="1">
        <w:r w:rsidRPr="00FC1867">
          <w:rPr>
            <w:rStyle w:val="Hyperlink"/>
            <w:rFonts w:ascii="Arial" w:hAnsi="Arial" w:cs="Arial"/>
          </w:rPr>
          <w:t>www.legislation.gov.uk/ukpga/2004/31/section/25</w:t>
        </w:r>
      </w:hyperlink>
    </w:p>
  </w:footnote>
  <w:footnote w:id="11">
    <w:p w:rsidR="004F133D" w:rsidRPr="00674532" w:rsidRDefault="004F133D" w:rsidP="00CA7C86">
      <w:pPr>
        <w:pStyle w:val="FootnoteText"/>
        <w:ind w:left="142" w:hanging="142"/>
        <w:rPr>
          <w:rFonts w:ascii="Arial" w:hAnsi="Arial" w:cs="Arial"/>
        </w:rPr>
      </w:pPr>
      <w:r w:rsidRPr="001C2A5E">
        <w:rPr>
          <w:rStyle w:val="FootnoteReference"/>
          <w:rFonts w:ascii="Arial" w:hAnsi="Arial" w:cs="Arial"/>
        </w:rPr>
        <w:footnoteRef/>
      </w:r>
      <w:r w:rsidRPr="001C2A5E">
        <w:rPr>
          <w:rFonts w:ascii="Arial" w:hAnsi="Arial" w:cs="Arial"/>
        </w:rPr>
        <w:t xml:space="preserve"> </w:t>
      </w:r>
      <w:hyperlink r:id="rId10" w:history="1">
        <w:r w:rsidRPr="00FF7E5C">
          <w:rPr>
            <w:rStyle w:val="Hyperlink"/>
            <w:rFonts w:ascii="Arial" w:hAnsi="Arial" w:cs="Arial"/>
          </w:rPr>
          <w:t>gov.wales/topics/educationandskills/schoolshome/wellbeing/schoolcounselling/statutory-guidance-independent-counselling-services/?lang=en</w:t>
        </w:r>
      </w:hyperlink>
    </w:p>
  </w:footnote>
  <w:footnote w:id="12">
    <w:p w:rsidR="004F133D" w:rsidRPr="001C2A5E" w:rsidRDefault="004F133D" w:rsidP="00CA7C86">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Section 19 of the Education Act 1996</w:t>
      </w:r>
      <w:r>
        <w:rPr>
          <w:rFonts w:ascii="Arial" w:hAnsi="Arial" w:cs="Arial"/>
        </w:rPr>
        <w:t xml:space="preserve"> at</w:t>
      </w:r>
      <w:r w:rsidRPr="001C2A5E">
        <w:rPr>
          <w:rFonts w:ascii="Arial" w:hAnsi="Arial" w:cs="Arial"/>
        </w:rPr>
        <w:t xml:space="preserve"> </w:t>
      </w:r>
      <w:hyperlink r:id="rId11" w:history="1">
        <w:r w:rsidRPr="00FF7E5C">
          <w:rPr>
            <w:rStyle w:val="Hyperlink"/>
            <w:rFonts w:ascii="Arial" w:hAnsi="Arial" w:cs="Arial"/>
          </w:rPr>
          <w:t>www.legislation.gov.uk/ukpga/1996/56/section/19</w:t>
        </w:r>
      </w:hyperlink>
      <w:r w:rsidRPr="001C2A5E">
        <w:rPr>
          <w:rFonts w:ascii="Arial" w:hAnsi="Arial" w:cs="Arial"/>
        </w:rPr>
        <w:t xml:space="preserve"> </w:t>
      </w:r>
    </w:p>
  </w:footnote>
  <w:footnote w:id="13">
    <w:p w:rsidR="004F133D" w:rsidRPr="00E02898" w:rsidRDefault="004F133D" w:rsidP="00CA7C86">
      <w:pPr>
        <w:pStyle w:val="FootnoteText"/>
        <w:rPr>
          <w:rFonts w:ascii="Arial" w:hAnsi="Arial" w:cs="Arial"/>
        </w:rPr>
      </w:pPr>
      <w:r w:rsidRPr="00E02898">
        <w:rPr>
          <w:rStyle w:val="FootnoteReference"/>
          <w:rFonts w:ascii="Arial" w:hAnsi="Arial" w:cs="Arial"/>
        </w:rPr>
        <w:footnoteRef/>
      </w:r>
      <w:r w:rsidRPr="00E02898">
        <w:rPr>
          <w:rFonts w:ascii="Arial" w:hAnsi="Arial" w:cs="Arial"/>
        </w:rPr>
        <w:t xml:space="preserve">  </w:t>
      </w:r>
      <w:hyperlink r:id="rId12" w:history="1">
        <w:r w:rsidRPr="00E02898">
          <w:rPr>
            <w:rStyle w:val="Hyperlink"/>
            <w:rFonts w:ascii="Arial" w:hAnsi="Arial" w:cs="Arial"/>
          </w:rPr>
          <w:t>gov.wales/docs/dcells/publications/150114-keeping-learners-safe.pdf</w:t>
        </w:r>
      </w:hyperlink>
    </w:p>
  </w:footnote>
  <w:footnote w:id="14">
    <w:p w:rsidR="004F133D" w:rsidRPr="001C2A5E" w:rsidRDefault="004F133D" w:rsidP="00CA7C86">
      <w:pPr>
        <w:pStyle w:val="FootnoteText"/>
        <w:ind w:left="284" w:hanging="284"/>
        <w:rPr>
          <w:rFonts w:ascii="Arial" w:hAnsi="Arial" w:cs="Arial"/>
        </w:rPr>
      </w:pPr>
      <w:r w:rsidRPr="001C2A5E">
        <w:rPr>
          <w:rStyle w:val="FootnoteReference"/>
          <w:rFonts w:ascii="Arial" w:hAnsi="Arial" w:cs="Arial"/>
        </w:rPr>
        <w:footnoteRef/>
      </w:r>
      <w:r w:rsidRPr="001C2A5E">
        <w:rPr>
          <w:rFonts w:ascii="Arial" w:hAnsi="Arial" w:cs="Arial"/>
        </w:rPr>
        <w:t xml:space="preserve"> </w:t>
      </w:r>
      <w:r>
        <w:rPr>
          <w:rFonts w:ascii="Arial" w:hAnsi="Arial" w:cs="Arial"/>
        </w:rPr>
        <w:t xml:space="preserve"> </w:t>
      </w:r>
      <w:r w:rsidRPr="001C2A5E">
        <w:rPr>
          <w:rFonts w:ascii="Arial" w:hAnsi="Arial" w:cs="Arial"/>
        </w:rPr>
        <w:t>Intimate care can be defined as any care which involves washing or carrying out a procedure to intimate personal areas which most people usually carry out themselves but some learners are unable to do because of their young age, physical difficulties or other special needs. Examples include care associated with continence and menstrual management as well as day-to-day tasks such as help with washing, toileting or dressing. It also includes supervision of learners involved in intimate self-care.</w:t>
      </w:r>
    </w:p>
  </w:footnote>
  <w:footnote w:id="15">
    <w:p w:rsidR="004F133D" w:rsidRPr="001C2A5E" w:rsidRDefault="004F133D" w:rsidP="00CA7C86">
      <w:pPr>
        <w:pStyle w:val="FootnoteText"/>
        <w:ind w:left="284" w:hanging="284"/>
        <w:rPr>
          <w:rFonts w:ascii="Arial" w:hAnsi="Arial" w:cs="Arial"/>
          <w:sz w:val="16"/>
          <w:szCs w:val="21"/>
        </w:rPr>
      </w:pPr>
      <w:r w:rsidRPr="001C2A5E">
        <w:rPr>
          <w:rStyle w:val="FootnoteReference"/>
          <w:rFonts w:ascii="Arial" w:hAnsi="Arial"/>
        </w:rPr>
        <w:footnoteRef/>
      </w:r>
      <w:r w:rsidRPr="001C2A5E">
        <w:rPr>
          <w:rFonts w:ascii="Arial" w:hAnsi="Arial"/>
        </w:rPr>
        <w:t xml:space="preserve"> </w:t>
      </w:r>
      <w:r>
        <w:rPr>
          <w:rFonts w:ascii="Arial" w:hAnsi="Arial"/>
        </w:rPr>
        <w:t xml:space="preserve"> Please note this circular will be revised in spring 2017. The current version can be accessed at </w:t>
      </w:r>
      <w:hyperlink r:id="rId13" w:history="1">
        <w:r w:rsidRPr="00E02898">
          <w:rPr>
            <w:rStyle w:val="Hyperlink"/>
            <w:rFonts w:ascii="Arial" w:hAnsi="Arial"/>
          </w:rPr>
          <w:t>www.wales.nhs.uk/sites3/page.cfm?orgid=465&amp;pid=11930</w:t>
        </w:r>
      </w:hyperlink>
    </w:p>
  </w:footnote>
  <w:footnote w:id="16">
    <w:p w:rsidR="004F133D" w:rsidRPr="001C2A5E" w:rsidRDefault="004F133D" w:rsidP="00CA7C86">
      <w:pPr>
        <w:pStyle w:val="FootnoteText"/>
        <w:ind w:left="284" w:hanging="284"/>
        <w:rPr>
          <w:rFonts w:ascii="Arial" w:hAnsi="Arial" w:cs="Arial"/>
        </w:rPr>
      </w:pPr>
      <w:r w:rsidRPr="001C2A5E">
        <w:rPr>
          <w:rStyle w:val="FootnoteReference"/>
          <w:rFonts w:ascii="Arial" w:hAnsi="Arial" w:cs="Arial"/>
        </w:rPr>
        <w:footnoteRef/>
      </w:r>
      <w:r w:rsidRPr="001C2A5E">
        <w:rPr>
          <w:rFonts w:ascii="Arial" w:hAnsi="Arial" w:cs="Arial"/>
        </w:rPr>
        <w:t xml:space="preserve"> </w:t>
      </w:r>
      <w:r>
        <w:rPr>
          <w:rFonts w:ascii="Arial" w:hAnsi="Arial" w:cs="Arial"/>
        </w:rPr>
        <w:t xml:space="preserve"> </w:t>
      </w:r>
      <w:hyperlink r:id="rId14" w:history="1">
        <w:r w:rsidRPr="00FF7E5C">
          <w:rPr>
            <w:rStyle w:val="Hyperlink"/>
            <w:rFonts w:ascii="Arial" w:hAnsi="Arial" w:cs="Arial"/>
          </w:rPr>
          <w:t>www.jcq.org.uk/exams-office/access-arrangements-and-special-consideration/regulations-and-guidance/access-arrangements-and-reasonable-adjustments-2016-2017</w:t>
        </w:r>
      </w:hyperlink>
    </w:p>
  </w:footnote>
  <w:footnote w:id="17">
    <w:p w:rsidR="004F133D" w:rsidRPr="001C2A5E" w:rsidRDefault="004F133D" w:rsidP="00CA7C86">
      <w:pPr>
        <w:pStyle w:val="FootnoteText"/>
        <w:ind w:left="284" w:hanging="284"/>
        <w:rPr>
          <w:rFonts w:ascii="Arial" w:hAnsi="Arial" w:cs="Arial"/>
        </w:rPr>
      </w:pPr>
      <w:r w:rsidRPr="001C2A5E">
        <w:rPr>
          <w:rStyle w:val="FootnoteReference"/>
          <w:rFonts w:ascii="Arial" w:hAnsi="Arial" w:cs="Arial"/>
        </w:rPr>
        <w:footnoteRef/>
      </w:r>
      <w:r w:rsidRPr="001C2A5E">
        <w:rPr>
          <w:rFonts w:ascii="Arial" w:hAnsi="Arial" w:cs="Arial"/>
        </w:rPr>
        <w:t xml:space="preserve"> </w:t>
      </w:r>
      <w:r>
        <w:rPr>
          <w:rFonts w:ascii="Arial" w:hAnsi="Arial" w:cs="Arial"/>
        </w:rPr>
        <w:t xml:space="preserve"> </w:t>
      </w:r>
      <w:hyperlink r:id="rId15" w:history="1">
        <w:r w:rsidRPr="00FF7E5C">
          <w:rPr>
            <w:rStyle w:val="Hyperlink"/>
            <w:rFonts w:ascii="Arial" w:hAnsi="Arial" w:cs="Arial"/>
          </w:rPr>
          <w:t>www.jcq.org.uk/exams-office/access-arrangements-and-special-consideration/regulations-and-guidance/a-guide-to-the-special-consideration-process-2016-2017</w:t>
        </w:r>
      </w:hyperlink>
    </w:p>
  </w:footnote>
  <w:footnote w:id="18">
    <w:p w:rsidR="004F133D" w:rsidRPr="001C2A5E" w:rsidRDefault="004F133D" w:rsidP="00CA7C86">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w:t>
      </w:r>
      <w:r>
        <w:rPr>
          <w:rFonts w:ascii="Arial" w:hAnsi="Arial" w:cs="Arial"/>
        </w:rPr>
        <w:t xml:space="preserve"> </w:t>
      </w:r>
      <w:hyperlink r:id="rId16" w:history="1">
        <w:r w:rsidRPr="00FF7E5C">
          <w:rPr>
            <w:rStyle w:val="Hyperlink"/>
            <w:rFonts w:ascii="Arial" w:hAnsi="Arial" w:cs="Arial"/>
          </w:rPr>
          <w:t>www.jcq.org.uk/exams-office/access-arrangements-and-special-consideration</w:t>
        </w:r>
      </w:hyperlink>
    </w:p>
  </w:footnote>
  <w:footnote w:id="19">
    <w:p w:rsidR="004F133D" w:rsidRDefault="004F133D" w:rsidP="00CA7C86">
      <w:pPr>
        <w:pStyle w:val="FootnoteText"/>
        <w:ind w:left="284" w:hanging="284"/>
        <w:rPr>
          <w:rFonts w:ascii="Arial" w:hAnsi="Arial"/>
        </w:rPr>
      </w:pPr>
      <w:r w:rsidRPr="001C2A5E">
        <w:rPr>
          <w:rStyle w:val="FootnoteReference"/>
          <w:rFonts w:ascii="Arial" w:hAnsi="Arial"/>
        </w:rPr>
        <w:footnoteRef/>
      </w:r>
      <w:r w:rsidRPr="001C2A5E">
        <w:rPr>
          <w:rFonts w:ascii="Arial" w:hAnsi="Arial"/>
        </w:rPr>
        <w:t xml:space="preserve"> </w:t>
      </w:r>
      <w:r>
        <w:rPr>
          <w:rFonts w:ascii="Arial" w:hAnsi="Arial"/>
        </w:rPr>
        <w:t xml:space="preserve"> </w:t>
      </w:r>
      <w:hyperlink r:id="rId17" w:history="1">
        <w:r w:rsidRPr="00FF7E5C">
          <w:rPr>
            <w:rStyle w:val="Hyperlink"/>
            <w:rFonts w:ascii="Arial" w:hAnsi="Arial"/>
          </w:rPr>
          <w:t>learning.gov.wales/resources/browse-all/national-reading-and-numeracy-tests-administration-handbook/?lang=en</w:t>
        </w:r>
      </w:hyperlink>
    </w:p>
    <w:p w:rsidR="004F133D" w:rsidRPr="001C2A5E" w:rsidRDefault="004F133D" w:rsidP="00CA7C86">
      <w:pPr>
        <w:pStyle w:val="FootnoteText"/>
        <w:rPr>
          <w:rFonts w:ascii="Arial" w:hAnsi="Arial"/>
        </w:rPr>
      </w:pPr>
    </w:p>
    <w:p w:rsidR="004F133D" w:rsidRDefault="004F133D" w:rsidP="00CA7C86">
      <w:pPr>
        <w:pStyle w:val="FootnoteText"/>
      </w:pPr>
    </w:p>
  </w:footnote>
  <w:footnote w:id="20">
    <w:p w:rsidR="004F133D" w:rsidRPr="001C2A5E" w:rsidRDefault="004F133D" w:rsidP="00CA7C86">
      <w:pPr>
        <w:pStyle w:val="FootnoteText"/>
        <w:rPr>
          <w:rFonts w:ascii="Arial" w:hAnsi="Arial" w:cs="Arial"/>
        </w:rPr>
      </w:pPr>
      <w:r w:rsidRPr="001C2A5E">
        <w:rPr>
          <w:rStyle w:val="FootnoteReference"/>
          <w:rFonts w:ascii="Arial" w:hAnsi="Arial" w:cs="Arial"/>
        </w:rPr>
        <w:footnoteRef/>
      </w:r>
      <w:r w:rsidRPr="001C2A5E">
        <w:rPr>
          <w:rFonts w:ascii="Arial" w:hAnsi="Arial" w:cs="Arial"/>
        </w:rPr>
        <w:t xml:space="preserve"> </w:t>
      </w:r>
      <w:proofErr w:type="gramStart"/>
      <w:r w:rsidRPr="001C2A5E">
        <w:rPr>
          <w:rFonts w:ascii="Arial" w:hAnsi="Arial" w:cs="Arial"/>
        </w:rPr>
        <w:t>The Learner Travel (Wales) Measure 2008.</w:t>
      </w:r>
      <w:proofErr w:type="gramEnd"/>
    </w:p>
  </w:footnote>
  <w:footnote w:id="21">
    <w:p w:rsidR="004F133D" w:rsidRPr="00FF7E5C" w:rsidRDefault="004F133D" w:rsidP="00CA7C86">
      <w:pPr>
        <w:pStyle w:val="FootnoteText"/>
        <w:rPr>
          <w:rFonts w:ascii="Arial" w:hAnsi="Arial" w:cs="Arial"/>
        </w:rPr>
      </w:pPr>
      <w:r w:rsidRPr="00FF7E5C">
        <w:rPr>
          <w:rStyle w:val="FootnoteReference"/>
          <w:rFonts w:ascii="Arial" w:hAnsi="Arial" w:cs="Arial"/>
        </w:rPr>
        <w:footnoteRef/>
      </w:r>
      <w:r w:rsidRPr="00FF7E5C">
        <w:rPr>
          <w:rFonts w:ascii="Arial" w:hAnsi="Arial" w:cs="Arial"/>
        </w:rPr>
        <w:t xml:space="preserve"> Available at </w:t>
      </w:r>
      <w:hyperlink r:id="rId18" w:history="1">
        <w:proofErr w:type="spellStart"/>
        <w:r w:rsidRPr="00601D2E">
          <w:rPr>
            <w:rStyle w:val="Hyperlink"/>
            <w:rFonts w:ascii="Arial" w:hAnsi="Arial" w:cs="Arial"/>
          </w:rPr>
          <w:t>gov.wales</w:t>
        </w:r>
        <w:proofErr w:type="spellEnd"/>
        <w:r w:rsidRPr="00601D2E">
          <w:rPr>
            <w:rStyle w:val="Hyperlink"/>
            <w:rFonts w:ascii="Arial" w:hAnsi="Arial" w:cs="Arial"/>
          </w:rPr>
          <w:t>/docs/</w:t>
        </w:r>
        <w:proofErr w:type="spellStart"/>
        <w:r w:rsidRPr="00601D2E">
          <w:rPr>
            <w:rStyle w:val="Hyperlink"/>
            <w:rFonts w:ascii="Arial" w:hAnsi="Arial" w:cs="Arial"/>
          </w:rPr>
          <w:t>det</w:t>
        </w:r>
        <w:proofErr w:type="spellEnd"/>
        <w:r w:rsidRPr="00601D2E">
          <w:rPr>
            <w:rStyle w:val="Hyperlink"/>
            <w:rFonts w:ascii="Arial" w:hAnsi="Arial" w:cs="Arial"/>
          </w:rPr>
          <w:t>/publications/140616-ltog-en.pdf</w:t>
        </w:r>
      </w:hyperlink>
    </w:p>
  </w:footnote>
  <w:footnote w:id="22">
    <w:p w:rsidR="004F133D" w:rsidRPr="00601D2E" w:rsidRDefault="004F133D" w:rsidP="00CA7C86">
      <w:pPr>
        <w:pStyle w:val="FootnoteText"/>
        <w:rPr>
          <w:rFonts w:ascii="Arial" w:hAnsi="Arial" w:cs="Arial"/>
        </w:rPr>
      </w:pPr>
      <w:r w:rsidRPr="00601D2E">
        <w:rPr>
          <w:rStyle w:val="FootnoteReference"/>
          <w:rFonts w:ascii="Arial" w:hAnsi="Arial" w:cs="Arial"/>
        </w:rPr>
        <w:footnoteRef/>
      </w:r>
      <w:r w:rsidRPr="00601D2E">
        <w:rPr>
          <w:rFonts w:ascii="Arial" w:hAnsi="Arial" w:cs="Arial"/>
        </w:rPr>
        <w:t xml:space="preserve"> Section 29 of the Education Act 2002 at </w:t>
      </w:r>
      <w:hyperlink r:id="rId19" w:history="1">
        <w:r w:rsidRPr="00601D2E">
          <w:rPr>
            <w:rStyle w:val="Hyperlink"/>
            <w:rFonts w:ascii="Arial" w:hAnsi="Arial" w:cs="Arial"/>
          </w:rPr>
          <w:t>www.legislation.gov.uk/ukpga/2002/32/section/29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946"/>
    <w:multiLevelType w:val="hybridMultilevel"/>
    <w:tmpl w:val="EAD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2939"/>
    <w:multiLevelType w:val="hybridMultilevel"/>
    <w:tmpl w:val="6AA6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982505"/>
    <w:multiLevelType w:val="hybridMultilevel"/>
    <w:tmpl w:val="FA4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3223B9"/>
    <w:multiLevelType w:val="hybridMultilevel"/>
    <w:tmpl w:val="80EEAE04"/>
    <w:lvl w:ilvl="0" w:tplc="60A659D4">
      <w:start w:val="1"/>
      <w:numFmt w:val="bullet"/>
      <w:lvlText w:val=""/>
      <w:lvlJc w:val="left"/>
      <w:pPr>
        <w:ind w:left="1211" w:hanging="360"/>
      </w:pPr>
      <w:rPr>
        <w:rFonts w:ascii="Symbol" w:hAnsi="Symbol" w:hint="default"/>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23B34587"/>
    <w:multiLevelType w:val="hybridMultilevel"/>
    <w:tmpl w:val="EC80AC2E"/>
    <w:lvl w:ilvl="0" w:tplc="08090019">
      <w:start w:val="1"/>
      <w:numFmt w:val="lowerLetter"/>
      <w:lvlText w:val="%1."/>
      <w:lvlJc w:val="left"/>
      <w:pPr>
        <w:ind w:left="1800" w:hanging="360"/>
      </w:pPr>
      <w:rPr>
        <w:rFonts w:hint="default"/>
        <w:b/>
        <w:color w:val="auto"/>
        <w:sz w:val="24"/>
        <w:szCs w:val="26"/>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3E123B8"/>
    <w:multiLevelType w:val="hybridMultilevel"/>
    <w:tmpl w:val="02D6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B53B1"/>
    <w:multiLevelType w:val="hybridMultilevel"/>
    <w:tmpl w:val="CA9C6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8A3E4E"/>
    <w:multiLevelType w:val="hybridMultilevel"/>
    <w:tmpl w:val="F81A8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3C25287B"/>
    <w:multiLevelType w:val="hybridMultilevel"/>
    <w:tmpl w:val="840E8CBE"/>
    <w:lvl w:ilvl="0" w:tplc="0809000F">
      <w:start w:val="1"/>
      <w:numFmt w:val="decimal"/>
      <w:lvlText w:val="%1."/>
      <w:lvlJc w:val="left"/>
      <w:pPr>
        <w:ind w:left="2682" w:hanging="360"/>
      </w:pPr>
      <w:rPr>
        <w:rFonts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0">
    <w:nsid w:val="3EAA318F"/>
    <w:multiLevelType w:val="hybridMultilevel"/>
    <w:tmpl w:val="77DCC8B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176B55"/>
    <w:multiLevelType w:val="hybridMultilevel"/>
    <w:tmpl w:val="B8F8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F84B03"/>
    <w:multiLevelType w:val="hybridMultilevel"/>
    <w:tmpl w:val="191EF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7244A0"/>
    <w:multiLevelType w:val="hybridMultilevel"/>
    <w:tmpl w:val="3D4277C6"/>
    <w:lvl w:ilvl="0" w:tplc="4C46984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DD32EB"/>
    <w:multiLevelType w:val="hybridMultilevel"/>
    <w:tmpl w:val="B220FA1C"/>
    <w:lvl w:ilvl="0" w:tplc="08090001">
      <w:start w:val="1"/>
      <w:numFmt w:val="bullet"/>
      <w:lvlText w:val=""/>
      <w:lvlJc w:val="left"/>
      <w:pPr>
        <w:ind w:left="1636" w:hanging="360"/>
      </w:pPr>
      <w:rPr>
        <w:rFonts w:ascii="Symbol" w:hAnsi="Symbol" w:hint="default"/>
      </w:rPr>
    </w:lvl>
    <w:lvl w:ilvl="1" w:tplc="08090001">
      <w:start w:val="1"/>
      <w:numFmt w:val="bullet"/>
      <w:lvlText w:val=""/>
      <w:lvlJc w:val="left"/>
      <w:pPr>
        <w:ind w:left="2356" w:hanging="360"/>
      </w:pPr>
      <w:rPr>
        <w:rFonts w:ascii="Symbol" w:hAnsi="Symbol"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
    <w:nsid w:val="6C472B40"/>
    <w:multiLevelType w:val="hybridMultilevel"/>
    <w:tmpl w:val="FAE81D36"/>
    <w:lvl w:ilvl="0" w:tplc="63426074">
      <w:start w:val="1"/>
      <w:numFmt w:val="decimal"/>
      <w:lvlText w:val="%1."/>
      <w:lvlJc w:val="left"/>
      <w:pPr>
        <w:ind w:left="360" w:hanging="360"/>
      </w:pPr>
      <w:rPr>
        <w:rFonts w:hint="default"/>
        <w:b/>
        <w:color w:val="auto"/>
        <w:sz w:val="24"/>
        <w:szCs w:val="24"/>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1D5613"/>
    <w:multiLevelType w:val="hybridMultilevel"/>
    <w:tmpl w:val="D9785248"/>
    <w:lvl w:ilvl="0" w:tplc="F530F9BA">
      <w:start w:val="1"/>
      <w:numFmt w:val="bullet"/>
      <w:lvlText w:val=""/>
      <w:lvlJc w:val="left"/>
      <w:pPr>
        <w:ind w:left="1920" w:hanging="360"/>
      </w:pPr>
      <w:rPr>
        <w:rFonts w:ascii="Symbol" w:hAnsi="Symbol" w:hint="default"/>
        <w:sz w:val="24"/>
        <w:szCs w:val="24"/>
      </w:rPr>
    </w:lvl>
    <w:lvl w:ilvl="1" w:tplc="08090001">
      <w:start w:val="1"/>
      <w:numFmt w:val="bullet"/>
      <w:lvlText w:val=""/>
      <w:lvlJc w:val="left"/>
      <w:pPr>
        <w:ind w:left="2640" w:hanging="360"/>
      </w:pPr>
      <w:rPr>
        <w:rFonts w:ascii="Symbol" w:hAnsi="Symbol" w:hint="default"/>
      </w:rPr>
    </w:lvl>
    <w:lvl w:ilvl="2" w:tplc="8944732E">
      <w:start w:val="1"/>
      <w:numFmt w:val="bullet"/>
      <w:lvlText w:val=""/>
      <w:lvlJc w:val="left"/>
      <w:pPr>
        <w:ind w:left="3360" w:hanging="360"/>
      </w:pPr>
      <w:rPr>
        <w:rFonts w:ascii="Symbol" w:hAnsi="Symbol" w:hint="default"/>
        <w:color w:val="1F3864" w:themeColor="accent5" w:themeShade="80"/>
      </w:rPr>
    </w:lvl>
    <w:lvl w:ilvl="3" w:tplc="08090001">
      <w:start w:val="1"/>
      <w:numFmt w:val="bullet"/>
      <w:lvlText w:val=""/>
      <w:lvlJc w:val="left"/>
      <w:pPr>
        <w:ind w:left="4080" w:hanging="360"/>
      </w:pPr>
      <w:rPr>
        <w:rFonts w:ascii="Symbol" w:hAnsi="Symbol" w:hint="default"/>
      </w:rPr>
    </w:lvl>
    <w:lvl w:ilvl="4" w:tplc="08090003">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nsid w:val="7F982DC4"/>
    <w:multiLevelType w:val="hybridMultilevel"/>
    <w:tmpl w:val="2B1EA118"/>
    <w:lvl w:ilvl="0" w:tplc="08090003">
      <w:start w:val="1"/>
      <w:numFmt w:val="bullet"/>
      <w:lvlText w:val="o"/>
      <w:lvlJc w:val="left"/>
      <w:pPr>
        <w:ind w:left="3188" w:hanging="360"/>
      </w:pPr>
      <w:rPr>
        <w:rFonts w:ascii="Courier New" w:hAnsi="Courier New" w:cs="Courier New" w:hint="default"/>
      </w:rPr>
    </w:lvl>
    <w:lvl w:ilvl="1" w:tplc="08090001">
      <w:start w:val="1"/>
      <w:numFmt w:val="bullet"/>
      <w:lvlText w:val=""/>
      <w:lvlJc w:val="left"/>
      <w:pPr>
        <w:ind w:left="3908" w:hanging="360"/>
      </w:pPr>
      <w:rPr>
        <w:rFonts w:ascii="Symbol" w:hAnsi="Symbol" w:hint="default"/>
      </w:rPr>
    </w:lvl>
    <w:lvl w:ilvl="2" w:tplc="08090005">
      <w:start w:val="1"/>
      <w:numFmt w:val="bullet"/>
      <w:lvlText w:val=""/>
      <w:lvlJc w:val="left"/>
      <w:pPr>
        <w:ind w:left="4628" w:hanging="360"/>
      </w:pPr>
      <w:rPr>
        <w:rFonts w:ascii="Wingdings" w:hAnsi="Wingdings" w:hint="default"/>
      </w:rPr>
    </w:lvl>
    <w:lvl w:ilvl="3" w:tplc="08090001" w:tentative="1">
      <w:start w:val="1"/>
      <w:numFmt w:val="bullet"/>
      <w:lvlText w:val=""/>
      <w:lvlJc w:val="left"/>
      <w:pPr>
        <w:ind w:left="5348" w:hanging="360"/>
      </w:pPr>
      <w:rPr>
        <w:rFonts w:ascii="Symbol" w:hAnsi="Symbol" w:hint="default"/>
      </w:rPr>
    </w:lvl>
    <w:lvl w:ilvl="4" w:tplc="08090003" w:tentative="1">
      <w:start w:val="1"/>
      <w:numFmt w:val="bullet"/>
      <w:lvlText w:val="o"/>
      <w:lvlJc w:val="left"/>
      <w:pPr>
        <w:ind w:left="6068" w:hanging="360"/>
      </w:pPr>
      <w:rPr>
        <w:rFonts w:ascii="Courier New" w:hAnsi="Courier New" w:cs="Courier New" w:hint="default"/>
      </w:rPr>
    </w:lvl>
    <w:lvl w:ilvl="5" w:tplc="08090005" w:tentative="1">
      <w:start w:val="1"/>
      <w:numFmt w:val="bullet"/>
      <w:lvlText w:val=""/>
      <w:lvlJc w:val="left"/>
      <w:pPr>
        <w:ind w:left="6788" w:hanging="360"/>
      </w:pPr>
      <w:rPr>
        <w:rFonts w:ascii="Wingdings" w:hAnsi="Wingdings" w:hint="default"/>
      </w:rPr>
    </w:lvl>
    <w:lvl w:ilvl="6" w:tplc="08090001" w:tentative="1">
      <w:start w:val="1"/>
      <w:numFmt w:val="bullet"/>
      <w:lvlText w:val=""/>
      <w:lvlJc w:val="left"/>
      <w:pPr>
        <w:ind w:left="7508" w:hanging="360"/>
      </w:pPr>
      <w:rPr>
        <w:rFonts w:ascii="Symbol" w:hAnsi="Symbol" w:hint="default"/>
      </w:rPr>
    </w:lvl>
    <w:lvl w:ilvl="7" w:tplc="08090003" w:tentative="1">
      <w:start w:val="1"/>
      <w:numFmt w:val="bullet"/>
      <w:lvlText w:val="o"/>
      <w:lvlJc w:val="left"/>
      <w:pPr>
        <w:ind w:left="8228" w:hanging="360"/>
      </w:pPr>
      <w:rPr>
        <w:rFonts w:ascii="Courier New" w:hAnsi="Courier New" w:cs="Courier New" w:hint="default"/>
      </w:rPr>
    </w:lvl>
    <w:lvl w:ilvl="8" w:tplc="08090005" w:tentative="1">
      <w:start w:val="1"/>
      <w:numFmt w:val="bullet"/>
      <w:lvlText w:val=""/>
      <w:lvlJc w:val="left"/>
      <w:pPr>
        <w:ind w:left="8948" w:hanging="360"/>
      </w:pPr>
      <w:rPr>
        <w:rFonts w:ascii="Wingdings" w:hAnsi="Wingdings" w:hint="default"/>
      </w:rPr>
    </w:lvl>
  </w:abstractNum>
  <w:num w:numId="1">
    <w:abstractNumId w:val="12"/>
  </w:num>
  <w:num w:numId="2">
    <w:abstractNumId w:val="4"/>
  </w:num>
  <w:num w:numId="3">
    <w:abstractNumId w:val="13"/>
  </w:num>
  <w:num w:numId="4">
    <w:abstractNumId w:val="3"/>
  </w:num>
  <w:num w:numId="5">
    <w:abstractNumId w:val="7"/>
  </w:num>
  <w:num w:numId="6">
    <w:abstractNumId w:val="2"/>
  </w:num>
  <w:num w:numId="7">
    <w:abstractNumId w:val="11"/>
  </w:num>
  <w:num w:numId="8">
    <w:abstractNumId w:val="0"/>
  </w:num>
  <w:num w:numId="9">
    <w:abstractNumId w:val="6"/>
  </w:num>
  <w:num w:numId="10">
    <w:abstractNumId w:val="16"/>
  </w:num>
  <w:num w:numId="11">
    <w:abstractNumId w:val="5"/>
  </w:num>
  <w:num w:numId="12">
    <w:abstractNumId w:val="14"/>
  </w:num>
  <w:num w:numId="13">
    <w:abstractNumId w:val="17"/>
  </w:num>
  <w:num w:numId="14">
    <w:abstractNumId w:val="9"/>
  </w:num>
  <w:num w:numId="15">
    <w:abstractNumId w:val="10"/>
  </w:num>
  <w:num w:numId="16">
    <w:abstractNumId w:val="1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35"/>
    <w:rsid w:val="00010918"/>
    <w:rsid w:val="000331AE"/>
    <w:rsid w:val="001015DC"/>
    <w:rsid w:val="00114EFD"/>
    <w:rsid w:val="00146845"/>
    <w:rsid w:val="001571AB"/>
    <w:rsid w:val="001862F9"/>
    <w:rsid w:val="001A3337"/>
    <w:rsid w:val="001C0FEA"/>
    <w:rsid w:val="001F5B1D"/>
    <w:rsid w:val="001F6679"/>
    <w:rsid w:val="00234393"/>
    <w:rsid w:val="002F04E1"/>
    <w:rsid w:val="00302BC1"/>
    <w:rsid w:val="00304DFB"/>
    <w:rsid w:val="00352E4D"/>
    <w:rsid w:val="00492656"/>
    <w:rsid w:val="004C040A"/>
    <w:rsid w:val="004D2A73"/>
    <w:rsid w:val="004F133D"/>
    <w:rsid w:val="0050048B"/>
    <w:rsid w:val="005E6695"/>
    <w:rsid w:val="00602D79"/>
    <w:rsid w:val="006149A8"/>
    <w:rsid w:val="00643BB1"/>
    <w:rsid w:val="006A3227"/>
    <w:rsid w:val="00735777"/>
    <w:rsid w:val="007367F6"/>
    <w:rsid w:val="00764D29"/>
    <w:rsid w:val="00766B2D"/>
    <w:rsid w:val="00783A45"/>
    <w:rsid w:val="008C0804"/>
    <w:rsid w:val="00901527"/>
    <w:rsid w:val="00977845"/>
    <w:rsid w:val="009B0503"/>
    <w:rsid w:val="009C6AAA"/>
    <w:rsid w:val="009D0218"/>
    <w:rsid w:val="00A40FDF"/>
    <w:rsid w:val="00A81A63"/>
    <w:rsid w:val="00AA0B46"/>
    <w:rsid w:val="00AA72E3"/>
    <w:rsid w:val="00AC7B49"/>
    <w:rsid w:val="00B17E37"/>
    <w:rsid w:val="00B36E2E"/>
    <w:rsid w:val="00B63612"/>
    <w:rsid w:val="00BB1E7B"/>
    <w:rsid w:val="00BC4E45"/>
    <w:rsid w:val="00BD352B"/>
    <w:rsid w:val="00C23211"/>
    <w:rsid w:val="00C40450"/>
    <w:rsid w:val="00C44735"/>
    <w:rsid w:val="00C80650"/>
    <w:rsid w:val="00C851FD"/>
    <w:rsid w:val="00CA7C86"/>
    <w:rsid w:val="00CC74DE"/>
    <w:rsid w:val="00CE669D"/>
    <w:rsid w:val="00CE6EF1"/>
    <w:rsid w:val="00D427AD"/>
    <w:rsid w:val="00D555CB"/>
    <w:rsid w:val="00D833E7"/>
    <w:rsid w:val="00DA6949"/>
    <w:rsid w:val="00DD26C7"/>
    <w:rsid w:val="00DF109B"/>
    <w:rsid w:val="00DF73CD"/>
    <w:rsid w:val="00E06CD1"/>
    <w:rsid w:val="00E3576A"/>
    <w:rsid w:val="00E60410"/>
    <w:rsid w:val="00E71AE6"/>
    <w:rsid w:val="00E832CD"/>
    <w:rsid w:val="00EC1C19"/>
    <w:rsid w:val="00F104BC"/>
    <w:rsid w:val="00F56DB5"/>
    <w:rsid w:val="00F608F5"/>
    <w:rsid w:val="00F618BB"/>
    <w:rsid w:val="00F776F8"/>
    <w:rsid w:val="00F921E5"/>
    <w:rsid w:val="00FD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35"/>
    <w:pPr>
      <w:spacing w:after="0" w:line="240" w:lineRule="auto"/>
    </w:pPr>
    <w:rPr>
      <w:rFonts w:ascii="Arial" w:eastAsia="Times New Roman" w:hAnsi="Arial" w:cs="Arial"/>
      <w:sz w:val="24"/>
      <w:szCs w:val="24"/>
    </w:rPr>
  </w:style>
  <w:style w:type="paragraph" w:styleId="Heading1">
    <w:name w:val="heading 1"/>
    <w:basedOn w:val="ListParagraph"/>
    <w:next w:val="Normal"/>
    <w:link w:val="Heading1Char"/>
    <w:uiPriority w:val="9"/>
    <w:qFormat/>
    <w:rsid w:val="001A3337"/>
    <w:pPr>
      <w:numPr>
        <w:numId w:val="6"/>
      </w:numPr>
      <w:spacing w:line="264" w:lineRule="auto"/>
      <w:outlineLvl w:val="0"/>
    </w:pPr>
    <w:rPr>
      <w:rFonts w:eastAsiaTheme="minorEastAsia"/>
      <w:b/>
      <w:sz w:val="32"/>
      <w:szCs w:val="32"/>
    </w:rPr>
  </w:style>
  <w:style w:type="paragraph" w:styleId="Heading2">
    <w:name w:val="heading 2"/>
    <w:basedOn w:val="Normal"/>
    <w:next w:val="Normal"/>
    <w:link w:val="Heading2Char"/>
    <w:uiPriority w:val="9"/>
    <w:semiHidden/>
    <w:unhideWhenUsed/>
    <w:qFormat/>
    <w:rsid w:val="00CA7C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333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337"/>
    <w:rPr>
      <w:color w:val="0563C1" w:themeColor="hyperlink"/>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1A3337"/>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1A3337"/>
    <w:rPr>
      <w:rFonts w:ascii="Arial" w:eastAsia="Times New Roman" w:hAnsi="Arial" w:cs="Arial"/>
      <w:sz w:val="24"/>
      <w:szCs w:val="24"/>
    </w:rPr>
  </w:style>
  <w:style w:type="character" w:customStyle="1" w:styleId="Heading1Char">
    <w:name w:val="Heading 1 Char"/>
    <w:basedOn w:val="DefaultParagraphFont"/>
    <w:link w:val="Heading1"/>
    <w:uiPriority w:val="9"/>
    <w:rsid w:val="001A3337"/>
    <w:rPr>
      <w:rFonts w:ascii="Arial" w:eastAsiaTheme="minorEastAsia" w:hAnsi="Arial" w:cs="Arial"/>
      <w:b/>
      <w:sz w:val="32"/>
      <w:szCs w:val="32"/>
    </w:rPr>
  </w:style>
  <w:style w:type="character" w:customStyle="1" w:styleId="Heading3Char">
    <w:name w:val="Heading 3 Char"/>
    <w:basedOn w:val="DefaultParagraphFont"/>
    <w:link w:val="Heading3"/>
    <w:uiPriority w:val="9"/>
    <w:semiHidden/>
    <w:rsid w:val="001A333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A333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A3337"/>
    <w:rPr>
      <w:rFonts w:eastAsiaTheme="minorEastAsia"/>
      <w:sz w:val="20"/>
      <w:szCs w:val="20"/>
    </w:rPr>
  </w:style>
  <w:style w:type="character" w:styleId="FootnoteReference">
    <w:name w:val="footnote reference"/>
    <w:basedOn w:val="DefaultParagraphFont"/>
    <w:uiPriority w:val="99"/>
    <w:semiHidden/>
    <w:unhideWhenUsed/>
    <w:rsid w:val="001A3337"/>
    <w:rPr>
      <w:vertAlign w:val="superscript"/>
    </w:rPr>
  </w:style>
  <w:style w:type="character" w:customStyle="1" w:styleId="Heading2Char">
    <w:name w:val="Heading 2 Char"/>
    <w:basedOn w:val="DefaultParagraphFont"/>
    <w:link w:val="Heading2"/>
    <w:uiPriority w:val="9"/>
    <w:semiHidden/>
    <w:rsid w:val="00CA7C86"/>
    <w:rPr>
      <w:rFonts w:asciiTheme="majorHAnsi" w:eastAsiaTheme="majorEastAsia" w:hAnsiTheme="majorHAnsi" w:cstheme="majorBidi"/>
      <w:color w:val="2E74B5" w:themeColor="accent1" w:themeShade="BF"/>
      <w:sz w:val="26"/>
      <w:szCs w:val="26"/>
    </w:rPr>
  </w:style>
  <w:style w:type="paragraph" w:customStyle="1" w:styleId="Default">
    <w:name w:val="Default"/>
    <w:rsid w:val="00CA7C86"/>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BB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7B"/>
    <w:rPr>
      <w:rFonts w:ascii="Segoe UI" w:eastAsia="Times New Roman" w:hAnsi="Segoe UI" w:cs="Segoe UI"/>
      <w:sz w:val="18"/>
      <w:szCs w:val="18"/>
    </w:rPr>
  </w:style>
  <w:style w:type="paragraph" w:styleId="BodyText">
    <w:name w:val="Body Text"/>
    <w:basedOn w:val="Normal"/>
    <w:link w:val="BodyTextChar"/>
    <w:uiPriority w:val="99"/>
    <w:rsid w:val="00977845"/>
    <w:pPr>
      <w:spacing w:after="120"/>
      <w:ind w:left="720" w:hanging="720"/>
    </w:pPr>
    <w:rPr>
      <w:rFonts w:cs="Times New Roman"/>
      <w:sz w:val="22"/>
      <w:lang w:eastAsia="en-GB"/>
    </w:rPr>
  </w:style>
  <w:style w:type="character" w:customStyle="1" w:styleId="BodyTextChar">
    <w:name w:val="Body Text Char"/>
    <w:basedOn w:val="DefaultParagraphFont"/>
    <w:link w:val="BodyText"/>
    <w:uiPriority w:val="99"/>
    <w:rsid w:val="00977845"/>
    <w:rPr>
      <w:rFonts w:ascii="Arial" w:eastAsia="Times New Roman" w:hAnsi="Arial" w:cs="Times New Roman"/>
      <w:szCs w:val="24"/>
      <w:lang w:eastAsia="en-GB"/>
    </w:rPr>
  </w:style>
  <w:style w:type="paragraph" w:styleId="NormalWeb">
    <w:name w:val="Normal (Web)"/>
    <w:basedOn w:val="Normal"/>
    <w:uiPriority w:val="99"/>
    <w:semiHidden/>
    <w:unhideWhenUsed/>
    <w:rsid w:val="004F133D"/>
    <w:pPr>
      <w:spacing w:before="100" w:beforeAutospacing="1" w:after="100" w:afterAutospacing="1"/>
    </w:pPr>
    <w:rPr>
      <w:rFonts w:ascii="Times New Roman" w:eastAsiaTheme="minorEastAsia"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35"/>
    <w:pPr>
      <w:spacing w:after="0" w:line="240" w:lineRule="auto"/>
    </w:pPr>
    <w:rPr>
      <w:rFonts w:ascii="Arial" w:eastAsia="Times New Roman" w:hAnsi="Arial" w:cs="Arial"/>
      <w:sz w:val="24"/>
      <w:szCs w:val="24"/>
    </w:rPr>
  </w:style>
  <w:style w:type="paragraph" w:styleId="Heading1">
    <w:name w:val="heading 1"/>
    <w:basedOn w:val="ListParagraph"/>
    <w:next w:val="Normal"/>
    <w:link w:val="Heading1Char"/>
    <w:uiPriority w:val="9"/>
    <w:qFormat/>
    <w:rsid w:val="001A3337"/>
    <w:pPr>
      <w:numPr>
        <w:numId w:val="6"/>
      </w:numPr>
      <w:spacing w:line="264" w:lineRule="auto"/>
      <w:outlineLvl w:val="0"/>
    </w:pPr>
    <w:rPr>
      <w:rFonts w:eastAsiaTheme="minorEastAsia"/>
      <w:b/>
      <w:sz w:val="32"/>
      <w:szCs w:val="32"/>
    </w:rPr>
  </w:style>
  <w:style w:type="paragraph" w:styleId="Heading2">
    <w:name w:val="heading 2"/>
    <w:basedOn w:val="Normal"/>
    <w:next w:val="Normal"/>
    <w:link w:val="Heading2Char"/>
    <w:uiPriority w:val="9"/>
    <w:semiHidden/>
    <w:unhideWhenUsed/>
    <w:qFormat/>
    <w:rsid w:val="00CA7C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333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337"/>
    <w:rPr>
      <w:color w:val="0563C1" w:themeColor="hyperlink"/>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1A3337"/>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1A3337"/>
    <w:rPr>
      <w:rFonts w:ascii="Arial" w:eastAsia="Times New Roman" w:hAnsi="Arial" w:cs="Arial"/>
      <w:sz w:val="24"/>
      <w:szCs w:val="24"/>
    </w:rPr>
  </w:style>
  <w:style w:type="character" w:customStyle="1" w:styleId="Heading1Char">
    <w:name w:val="Heading 1 Char"/>
    <w:basedOn w:val="DefaultParagraphFont"/>
    <w:link w:val="Heading1"/>
    <w:uiPriority w:val="9"/>
    <w:rsid w:val="001A3337"/>
    <w:rPr>
      <w:rFonts w:ascii="Arial" w:eastAsiaTheme="minorEastAsia" w:hAnsi="Arial" w:cs="Arial"/>
      <w:b/>
      <w:sz w:val="32"/>
      <w:szCs w:val="32"/>
    </w:rPr>
  </w:style>
  <w:style w:type="character" w:customStyle="1" w:styleId="Heading3Char">
    <w:name w:val="Heading 3 Char"/>
    <w:basedOn w:val="DefaultParagraphFont"/>
    <w:link w:val="Heading3"/>
    <w:uiPriority w:val="9"/>
    <w:semiHidden/>
    <w:rsid w:val="001A333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1A333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1A3337"/>
    <w:rPr>
      <w:rFonts w:eastAsiaTheme="minorEastAsia"/>
      <w:sz w:val="20"/>
      <w:szCs w:val="20"/>
    </w:rPr>
  </w:style>
  <w:style w:type="character" w:styleId="FootnoteReference">
    <w:name w:val="footnote reference"/>
    <w:basedOn w:val="DefaultParagraphFont"/>
    <w:uiPriority w:val="99"/>
    <w:semiHidden/>
    <w:unhideWhenUsed/>
    <w:rsid w:val="001A3337"/>
    <w:rPr>
      <w:vertAlign w:val="superscript"/>
    </w:rPr>
  </w:style>
  <w:style w:type="character" w:customStyle="1" w:styleId="Heading2Char">
    <w:name w:val="Heading 2 Char"/>
    <w:basedOn w:val="DefaultParagraphFont"/>
    <w:link w:val="Heading2"/>
    <w:uiPriority w:val="9"/>
    <w:semiHidden/>
    <w:rsid w:val="00CA7C86"/>
    <w:rPr>
      <w:rFonts w:asciiTheme="majorHAnsi" w:eastAsiaTheme="majorEastAsia" w:hAnsiTheme="majorHAnsi" w:cstheme="majorBidi"/>
      <w:color w:val="2E74B5" w:themeColor="accent1" w:themeShade="BF"/>
      <w:sz w:val="26"/>
      <w:szCs w:val="26"/>
    </w:rPr>
  </w:style>
  <w:style w:type="paragraph" w:customStyle="1" w:styleId="Default">
    <w:name w:val="Default"/>
    <w:rsid w:val="00CA7C86"/>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BB1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7B"/>
    <w:rPr>
      <w:rFonts w:ascii="Segoe UI" w:eastAsia="Times New Roman" w:hAnsi="Segoe UI" w:cs="Segoe UI"/>
      <w:sz w:val="18"/>
      <w:szCs w:val="18"/>
    </w:rPr>
  </w:style>
  <w:style w:type="paragraph" w:styleId="BodyText">
    <w:name w:val="Body Text"/>
    <w:basedOn w:val="Normal"/>
    <w:link w:val="BodyTextChar"/>
    <w:uiPriority w:val="99"/>
    <w:rsid w:val="00977845"/>
    <w:pPr>
      <w:spacing w:after="120"/>
      <w:ind w:left="720" w:hanging="720"/>
    </w:pPr>
    <w:rPr>
      <w:rFonts w:cs="Times New Roman"/>
      <w:sz w:val="22"/>
      <w:lang w:eastAsia="en-GB"/>
    </w:rPr>
  </w:style>
  <w:style w:type="character" w:customStyle="1" w:styleId="BodyTextChar">
    <w:name w:val="Body Text Char"/>
    <w:basedOn w:val="DefaultParagraphFont"/>
    <w:link w:val="BodyText"/>
    <w:uiPriority w:val="99"/>
    <w:rsid w:val="00977845"/>
    <w:rPr>
      <w:rFonts w:ascii="Arial" w:eastAsia="Times New Roman" w:hAnsi="Arial" w:cs="Times New Roman"/>
      <w:szCs w:val="24"/>
      <w:lang w:eastAsia="en-GB"/>
    </w:rPr>
  </w:style>
  <w:style w:type="paragraph" w:styleId="NormalWeb">
    <w:name w:val="Normal (Web)"/>
    <w:basedOn w:val="Normal"/>
    <w:uiPriority w:val="99"/>
    <w:semiHidden/>
    <w:unhideWhenUsed/>
    <w:rsid w:val="004F133D"/>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ebmail.rctednet.net/exchange/Eppadmin/Inbox/RE:.EML/School%20Logo.JPG/C58EA28C-18C0-4a97-9AF2-036E93DDAFB3/School%20Logo.JPG?attach=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ov.wales/dcells/publications/publications/circularsindex/04/disabledaccess/nafwc1504-e.pdf?lang=en" TargetMode="External"/><Relationship Id="rId13" Type="http://schemas.openxmlformats.org/officeDocument/2006/relationships/hyperlink" Target="http://www.wales.nhs.uk/sites3/page.cfm?orgid=465&amp;pid=11930" TargetMode="External"/><Relationship Id="rId18" Type="http://schemas.openxmlformats.org/officeDocument/2006/relationships/hyperlink" Target="http://gov.wales/docs/det/publications/140616-ltog-en.pdf" TargetMode="External"/><Relationship Id="rId3" Type="http://schemas.openxmlformats.org/officeDocument/2006/relationships/hyperlink" Target="http://www.legislation.gov.uk/ukpga/1996/56/section/19" TargetMode="External"/><Relationship Id="rId7" Type="http://schemas.openxmlformats.org/officeDocument/2006/relationships/hyperlink" Target="http://www.legislation.gov.uk/ukpga/2010/15/schedule/10" TargetMode="External"/><Relationship Id="rId12" Type="http://schemas.openxmlformats.org/officeDocument/2006/relationships/hyperlink" Target="http://gov.wales/docs/dcells/publications/150114-keeping-learners-safe.pdf" TargetMode="External"/><Relationship Id="rId17" Type="http://schemas.openxmlformats.org/officeDocument/2006/relationships/hyperlink" Target="http://learning.gov.wales/resources/browse-all/national-reading-and-numeracy-tests-administration-handbook/?lang=en" TargetMode="External"/><Relationship Id="rId2" Type="http://schemas.openxmlformats.org/officeDocument/2006/relationships/hyperlink" Target="http://gov.wales/topics/educationandskills/schoolshome/wellbeing/schoolcounselling/statutory-guidance-independent-counselling-services/?lang=en" TargetMode="External"/><Relationship Id="rId16" Type="http://schemas.openxmlformats.org/officeDocument/2006/relationships/hyperlink" Target="http://www.jcq.org.uk/exams-office/access-arrangements-and-special-consideration/" TargetMode="External"/><Relationship Id="rId1" Type="http://schemas.openxmlformats.org/officeDocument/2006/relationships/hyperlink" Target="http://www.legislation.gov.uk/ukpga/2004/31/section/25" TargetMode="External"/><Relationship Id="rId6" Type="http://schemas.openxmlformats.org/officeDocument/2006/relationships/hyperlink" Target="http://www.legislation.gov.uk/ukpga/2010/15/contents" TargetMode="External"/><Relationship Id="rId11" Type="http://schemas.openxmlformats.org/officeDocument/2006/relationships/hyperlink" Target="http://www.legislation.gov.uk/ukpga/1996/56/section/19" TargetMode="External"/><Relationship Id="rId5" Type="http://schemas.openxmlformats.org/officeDocument/2006/relationships/hyperlink" Target="http://learning.gov.wales/docs/learningwales/publications/150909-reviews-toolkit-en.pdf" TargetMode="External"/><Relationship Id="rId15" Type="http://schemas.openxmlformats.org/officeDocument/2006/relationships/hyperlink" Target="http://www.jcq.org.uk/exams-office/access-arrangements-and-special-consideration/regulations-and-guidance/a-guide-to-the-special-consideration-process-2016-2017" TargetMode="External"/><Relationship Id="rId10" Type="http://schemas.openxmlformats.org/officeDocument/2006/relationships/hyperlink" Target="http://gov.wales/topics/educationandskills/schoolshome/wellbeing/schoolcounselling/statutory-guidance-independent-counselling-services/?lang=en" TargetMode="External"/><Relationship Id="rId19" Type="http://schemas.openxmlformats.org/officeDocument/2006/relationships/hyperlink" Target="http://www.legislation.gov.uk/ukpga/2002/32/section/29" TargetMode="External"/><Relationship Id="rId4" Type="http://schemas.openxmlformats.org/officeDocument/2006/relationships/hyperlink" Target="http://www.wales.nhs.uk/sitesplus/888/home" TargetMode="External"/><Relationship Id="rId9" Type="http://schemas.openxmlformats.org/officeDocument/2006/relationships/hyperlink" Target="http://www.legislation.gov.uk/ukpga/2004/31/section/25" TargetMode="External"/><Relationship Id="rId14" Type="http://schemas.openxmlformats.org/officeDocument/2006/relationships/hyperlink" Target="http://www.jcq.org.uk/exams-office/access-arrangements-and-special-consideration/regulations-and-guidance/access-arrangements-and-reasonable-adjustments-2016-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8861</Words>
  <Characters>50512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 Nigel E.</dc:creator>
  <cp:lastModifiedBy>Pat Price</cp:lastModifiedBy>
  <cp:revision>2</cp:revision>
  <cp:lastPrinted>2017-07-11T10:37:00Z</cp:lastPrinted>
  <dcterms:created xsi:type="dcterms:W3CDTF">2017-07-25T13:36:00Z</dcterms:created>
  <dcterms:modified xsi:type="dcterms:W3CDTF">2017-07-25T13:36:00Z</dcterms:modified>
</cp:coreProperties>
</file>